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Report</w:t>
      </w:r>
    </w:p>
    <w:p>
      <w:r>
        <w:t>This quarter, revenue grew by 18 percent compared to the previous quarter, driven primarily by increased adoption of the new AI product line.</w:t>
      </w:r>
    </w:p>
    <w:p>
      <w:r>
        <w:t>Customer support tickets decreased by 12 percent after the launch of the automated file assistant, which now handles document lookup and summarization tasks that previously required manual review.</w:t>
      </w:r>
    </w:p>
    <w:p>
      <w:pPr>
        <w:pStyle w:val="Heading2"/>
      </w:pPr>
      <w:r>
        <w:t>Regional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 (USD)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95000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80000</w:t>
            </w:r>
          </w:p>
        </w:tc>
        <w:tc>
          <w:tcPr>
            <w:tcW w:type="dxa" w:w="2880"/>
          </w:tcPr>
          <w:p>
            <w:r>
              <w:t>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