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Data Collection and Preprocessing Phase 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7230"/>
        <w:tblGridChange w:id="0">
          <w:tblGrid>
            <w:gridCol w:w="2130"/>
            <w:gridCol w:w="72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19-09-2026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Smartphone Usage, Digital Addiction, and Well-Being Data Analytics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80" w:befor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 Quality Report Template</w:t>
      </w:r>
    </w:p>
    <w:p w:rsidR="00000000" w:rsidDel="00000000" w:rsidP="00000000" w:rsidRDefault="00000000" w:rsidRPr="00000000" w14:paraId="0000000F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 Quality Report Template summarizes data quality issues from the selected source, including severity levels and resolution plans. It serves as a framework to systematically identify and rectify discrepancies within the digital well-being tracking metrics.</w:t>
      </w:r>
    </w:p>
    <w:p w:rsidR="00000000" w:rsidDel="00000000" w:rsidP="00000000" w:rsidRDefault="00000000" w:rsidRPr="00000000" w14:paraId="00000010">
      <w:pPr>
        <w:spacing w:after="180" w:befor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3195"/>
        <w:gridCol w:w="1290"/>
        <w:gridCol w:w="3390"/>
        <w:tblGridChange w:id="0">
          <w:tblGrid>
            <w:gridCol w:w="1485"/>
            <w:gridCol w:w="3195"/>
            <w:gridCol w:w="129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Data Source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Data Quality Issue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Severity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Resolution Plan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 Usage Logs 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Missing session durations and blank app category classifications occur due to background app crashes or sync errors.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 a fallback categorization system based on bundle identifiers and apply median imputation for missing usage metrics.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Notification History Stream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Duplicate notification counts are logged when system push tokens retry delivery over fluctuating networks.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Apply a deduplication function filtering out entries that share identical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88038"/>
                <w:rtl w:val="0"/>
              </w:rPr>
              <w:t xml:space="preserve">Notification_ID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and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88038"/>
                <w:rtl w:val="0"/>
              </w:rPr>
              <w:t xml:space="preserve">Timestamp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profiles within a 2-second window.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 Wellness Surveys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Out-of-bounds inputs (e.g., mood scores recorded outside the intended 1–10 scale) appear from interface input mismatches.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 a programmatic boundary validation filter to cap or eliminate values outside the defined operational ranges.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Device Unlock Registry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Discrepancies in data type layouts, where text strings and numerical flags are mixed inside the unique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field.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Force a systemic schema conversion, standardizing the target property format strictly as a Text/String format to avoid aggregation skew. </w:t>
            </w:r>
          </w:p>
        </w:tc>
      </w:tr>
    </w:tbl>
    <w:p w:rsidR="00000000" w:rsidDel="00000000" w:rsidP="00000000" w:rsidRDefault="00000000" w:rsidRPr="00000000" w14:paraId="00000025">
      <w:pPr>
        <w:spacing w:after="180" w:befor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