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jc w:val="center"/>
      </w:pPr>
      <w:r>
        <w:rPr>
          <w:b/>
          <w:sz w:val="36"/>
        </w:rPr>
        <w:t>PROJECT REVIEW – 2</w:t>
      </w:r>
    </w:p>
    <w:p>
      <w:pPr>
        <w:spacing w:after="160"/>
        <w:jc w:val="center"/>
      </w:pPr>
      <w:r>
        <w:rPr>
          <w:b/>
          <w:sz w:val="42"/>
        </w:rPr>
        <w:t>Explainable Vision-Language Diagnostic Assistant</w:t>
      </w:r>
    </w:p>
    <w:p>
      <w:pPr>
        <w:spacing w:after="160"/>
        <w:jc w:val="center"/>
      </w:pPr>
      <w:r>
        <w:rPr>
          <w:b/>
          <w:sz w:val="34"/>
        </w:rPr>
        <w:t>for Chest Radiographs with Offline Rural Deployment</w:t>
      </w:r>
    </w:p>
    <w:p>
      <w:pPr>
        <w:spacing w:after="160"/>
        <w:jc w:val="center"/>
      </w:pPr>
      <w:r>
        <w:rPr>
          <w:b/>
          <w:sz w:val="24"/>
        </w:rPr>
        <w:t>NLP Specialization Capstone Project</w:t>
      </w:r>
    </w:p>
    <w:p>
      <w:pPr>
        <w:jc w:val="center"/>
      </w:pPr>
      <w:r>
        <w:rPr>
          <w:sz w:val="22"/>
        </w:rPr>
        <w:t>Cluster – 3  |  Section – 7</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20"/>
              </w:rPr>
              <w:t>Team Members</w:t>
            </w:r>
          </w:p>
        </w:tc>
        <w:tc>
          <w:tcPr>
            <w:tcW w:type="dxa" w:w="5112"/>
            <w:vAlign w:val="center"/>
            <w:shd w:fill="D9EAF7"/>
          </w:tcPr>
          <w:p>
            <w:pPr>
              <w:spacing w:after="0"/>
            </w:pPr>
            <w:r/>
            <w:r>
              <w:rPr>
                <w:b/>
                <w:sz w:val="20"/>
              </w:rPr>
              <w:t>Register Number</w:t>
            </w:r>
          </w:p>
        </w:tc>
      </w:tr>
      <w:tr>
        <w:tc>
          <w:tcPr>
            <w:tcW w:type="dxa" w:w="5112"/>
            <w:vAlign w:val="center"/>
          </w:tcPr>
          <w:p>
            <w:pPr>
              <w:spacing w:after="0"/>
            </w:pPr>
            <w:r/>
            <w:r>
              <w:rPr>
                <w:b w:val="0"/>
                <w:sz w:val="20"/>
              </w:rPr>
              <w:t>P. Kavya Sai</w:t>
            </w:r>
          </w:p>
        </w:tc>
        <w:tc>
          <w:tcPr>
            <w:tcW w:type="dxa" w:w="5112"/>
            <w:vAlign w:val="center"/>
          </w:tcPr>
          <w:p>
            <w:pPr>
              <w:spacing w:after="0"/>
            </w:pPr>
            <w:r/>
            <w:r>
              <w:rPr>
                <w:b w:val="0"/>
                <w:sz w:val="20"/>
              </w:rPr>
              <w:t>2420030322</w:t>
            </w:r>
          </w:p>
        </w:tc>
      </w:tr>
      <w:tr>
        <w:tc>
          <w:tcPr>
            <w:tcW w:type="dxa" w:w="5112"/>
            <w:vAlign w:val="center"/>
          </w:tcPr>
          <w:p>
            <w:pPr>
              <w:spacing w:after="0"/>
            </w:pPr>
            <w:r/>
            <w:r>
              <w:rPr>
                <w:b w:val="0"/>
                <w:sz w:val="20"/>
              </w:rPr>
              <w:t>D. Poojitha</w:t>
            </w:r>
          </w:p>
        </w:tc>
        <w:tc>
          <w:tcPr>
            <w:tcW w:type="dxa" w:w="5112"/>
            <w:vAlign w:val="center"/>
          </w:tcPr>
          <w:p>
            <w:pPr>
              <w:spacing w:after="0"/>
            </w:pPr>
            <w:r/>
            <w:r>
              <w:rPr>
                <w:b w:val="0"/>
                <w:sz w:val="20"/>
              </w:rPr>
              <w:t>2420030697</w:t>
            </w:r>
          </w:p>
        </w:tc>
      </w:tr>
      <w:tr>
        <w:tc>
          <w:tcPr>
            <w:tcW w:type="dxa" w:w="5112"/>
            <w:vAlign w:val="center"/>
          </w:tcPr>
          <w:p>
            <w:pPr>
              <w:spacing w:after="0"/>
            </w:pPr>
            <w:r/>
            <w:r>
              <w:rPr>
                <w:b w:val="0"/>
                <w:sz w:val="20"/>
              </w:rPr>
              <w:t>P. Meghana</w:t>
            </w:r>
          </w:p>
        </w:tc>
        <w:tc>
          <w:tcPr>
            <w:tcW w:type="dxa" w:w="5112"/>
            <w:vAlign w:val="center"/>
          </w:tcPr>
          <w:p>
            <w:pPr>
              <w:spacing w:after="0"/>
            </w:pPr>
            <w:r/>
            <w:r>
              <w:rPr>
                <w:b w:val="0"/>
                <w:sz w:val="20"/>
              </w:rPr>
              <w:t>2420030401</w:t>
            </w:r>
          </w:p>
        </w:tc>
      </w:tr>
      <w:tr>
        <w:tc>
          <w:tcPr>
            <w:tcW w:type="dxa" w:w="5112"/>
            <w:vAlign w:val="center"/>
          </w:tcPr>
          <w:p>
            <w:pPr>
              <w:spacing w:after="0"/>
            </w:pPr>
            <w:r/>
            <w:r>
              <w:rPr>
                <w:b w:val="0"/>
                <w:sz w:val="20"/>
              </w:rPr>
              <w:t>S. Anajana</w:t>
            </w:r>
          </w:p>
        </w:tc>
        <w:tc>
          <w:tcPr>
            <w:tcW w:type="dxa" w:w="5112"/>
            <w:vAlign w:val="center"/>
          </w:tcPr>
          <w:p>
            <w:pPr>
              <w:spacing w:after="0"/>
            </w:pPr>
            <w:r/>
            <w:r>
              <w:rPr>
                <w:b w:val="0"/>
                <w:sz w:val="20"/>
              </w:rPr>
              <w:t>2420030499</w:t>
            </w:r>
          </w:p>
        </w:tc>
      </w:tr>
    </w:tbl>
    <w:p/>
    <w:p>
      <w:pPr>
        <w:jc w:val="center"/>
      </w:pPr>
      <w:r>
        <w:rPr>
          <w:b/>
          <w:sz w:val="22"/>
        </w:rPr>
        <w:t>Faculty: Dr. K Swanthana</w:t>
      </w:r>
    </w:p>
    <w:p>
      <w:r>
        <w:br w:type="page"/>
      </w:r>
    </w:p>
    <w:p>
      <w:pPr>
        <w:pStyle w:val="Heading1"/>
      </w:pPr>
      <w:r>
        <w:t>1. PROBLEM STATEMENT</w:t>
      </w:r>
    </w:p>
    <w:p>
      <w:pPr>
        <w:pStyle w:val="ListBullet"/>
      </w:pPr>
      <w:r>
        <w:t>Acute Radiologist Shortage: Primary health centers in rural regions lack specialist radiologists to read X-rays and detect conditions like pneumonia or tuberculosis.</w:t>
      </w:r>
    </w:p>
    <w:p>
      <w:pPr>
        <w:pStyle w:val="ListBullet"/>
      </w:pPr>
      <w:r>
        <w:t>Diagnostic Delays &amp; Travel Burden: Patients may travel vast distances to urban hospitals, delaying time-critical care and increasing financial burden.</w:t>
      </w:r>
    </w:p>
    <w:p>
      <w:pPr>
        <w:pStyle w:val="ListBullet"/>
      </w:pPr>
      <w:r>
        <w:t>Black-Box AI Mistrust: Traditional AI systems provide class outputs without explanations, making local nurses reluctant to rely on machine predictions.</w:t>
      </w:r>
    </w:p>
    <w:p>
      <w:pPr/>
      <w:r>
        <w:rPr>
          <w:b w:val="0"/>
        </w:rPr>
        <w:t>The project addresses the need for an explainable diagnostic-support workflow that combines chest X-ray classification, visual evidence, text-based reporting and priority guidance for rural healthcare use.</w:t>
      </w:r>
    </w:p>
    <w:p>
      <w:pPr>
        <w:pStyle w:val="Heading1"/>
      </w:pPr>
      <w:r>
        <w:t>2. OBJECTIVES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7"/>
              </w:rPr>
              <w:t>Objective</w:t>
            </w:r>
          </w:p>
        </w:tc>
        <w:tc>
          <w:tcPr>
            <w:tcW w:type="dxa" w:w="5112"/>
            <w:vAlign w:val="center"/>
            <w:shd w:fill="D9EAF7"/>
          </w:tcPr>
          <w:p>
            <w:pPr>
              <w:spacing w:after="0"/>
            </w:pPr>
            <w:r/>
            <w:r>
              <w:rPr>
                <w:b/>
                <w:sz w:val="17"/>
              </w:rPr>
              <w:t>Description</w:t>
            </w:r>
          </w:p>
        </w:tc>
      </w:tr>
      <w:tr>
        <w:tc>
          <w:tcPr>
            <w:tcW w:type="dxa" w:w="5112"/>
            <w:vAlign w:val="center"/>
          </w:tcPr>
          <w:p>
            <w:pPr>
              <w:spacing w:after="0"/>
            </w:pPr>
            <w:r/>
            <w:r>
              <w:rPr>
                <w:b w:val="0"/>
                <w:sz w:val="17"/>
              </w:rPr>
              <w:t>1. Multimodal Diagnosis</w:t>
            </w:r>
          </w:p>
        </w:tc>
        <w:tc>
          <w:tcPr>
            <w:tcW w:type="dxa" w:w="5112"/>
            <w:vAlign w:val="center"/>
          </w:tcPr>
          <w:p>
            <w:pPr>
              <w:spacing w:after="0"/>
            </w:pPr>
            <w:r/>
            <w:r>
              <w:rPr>
                <w:b w:val="0"/>
                <w:sz w:val="17"/>
              </w:rPr>
              <w:t>Develop a vision-language assistant to generate plain-language diagnostic descriptions such as "early signs of pneumonia" alongside class confidence scores.</w:t>
            </w:r>
          </w:p>
        </w:tc>
      </w:tr>
      <w:tr>
        <w:tc>
          <w:tcPr>
            <w:tcW w:type="dxa" w:w="5112"/>
            <w:vAlign w:val="center"/>
          </w:tcPr>
          <w:p>
            <w:pPr>
              <w:spacing w:after="0"/>
            </w:pPr>
            <w:r/>
            <w:r>
              <w:rPr>
                <w:b w:val="0"/>
                <w:sz w:val="17"/>
              </w:rPr>
              <w:t>2. Visual Explanation</w:t>
            </w:r>
          </w:p>
        </w:tc>
        <w:tc>
          <w:tcPr>
            <w:tcW w:type="dxa" w:w="5112"/>
            <w:vAlign w:val="center"/>
          </w:tcPr>
          <w:p>
            <w:pPr>
              <w:spacing w:after="0"/>
            </w:pPr>
            <w:r/>
            <w:r>
              <w:rPr>
                <w:b w:val="0"/>
                <w:sz w:val="17"/>
              </w:rPr>
              <w:t>Incorporate Grad-CAM heatmaps and attention overlays that identify the anatomical regions contributing to the model output.</w:t>
            </w:r>
          </w:p>
        </w:tc>
      </w:tr>
      <w:tr>
        <w:tc>
          <w:tcPr>
            <w:tcW w:type="dxa" w:w="5112"/>
            <w:vAlign w:val="center"/>
          </w:tcPr>
          <w:p>
            <w:pPr>
              <w:spacing w:after="0"/>
            </w:pPr>
            <w:r/>
            <w:r>
              <w:rPr>
                <w:b w:val="0"/>
                <w:sz w:val="17"/>
              </w:rPr>
              <w:t>3. Automated Triage &amp; Priority Guidance</w:t>
            </w:r>
          </w:p>
        </w:tc>
        <w:tc>
          <w:tcPr>
            <w:tcW w:type="dxa" w:w="5112"/>
            <w:vAlign w:val="center"/>
          </w:tcPr>
          <w:p>
            <w:pPr>
              <w:spacing w:after="0"/>
            </w:pPr>
            <w:r/>
            <w:r>
              <w:rPr>
                <w:b w:val="0"/>
                <w:sz w:val="17"/>
              </w:rPr>
              <w:t>Compute case-urgency flags, such as "Please refer to specialist within 24 hours", to help rural health workers prioritize critical cases.</w:t>
            </w:r>
          </w:p>
        </w:tc>
      </w:tr>
    </w:tbl>
    <w:p/>
    <w:p>
      <w:pPr>
        <w:pStyle w:val="Heading1"/>
      </w:pPr>
      <w:r>
        <w:t>3. LITERATURE SURVEY &amp; RESEARCH GAP</w:t>
      </w:r>
    </w:p>
    <w:p>
      <w:pPr>
        <w:pStyle w:val="Heading2"/>
      </w:pPr>
      <w:r>
        <w:t>3.1 Literature Survey – Existing Work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6"/>
              </w:rPr>
              <w:t>Existing Work</w:t>
            </w:r>
          </w:p>
        </w:tc>
        <w:tc>
          <w:tcPr>
            <w:tcW w:type="dxa" w:w="3408"/>
            <w:vAlign w:val="center"/>
            <w:shd w:fill="D9EAF7"/>
          </w:tcPr>
          <w:p>
            <w:pPr>
              <w:spacing w:after="0"/>
            </w:pPr>
            <w:r/>
            <w:r>
              <w:rPr>
                <w:b/>
                <w:sz w:val="16"/>
              </w:rPr>
              <w:t>Contribution</w:t>
            </w:r>
          </w:p>
        </w:tc>
        <w:tc>
          <w:tcPr>
            <w:tcW w:type="dxa" w:w="3408"/>
            <w:vAlign w:val="center"/>
            <w:shd w:fill="D9EAF7"/>
          </w:tcPr>
          <w:p>
            <w:pPr>
              <w:spacing w:after="0"/>
            </w:pPr>
            <w:r/>
            <w:r>
              <w:rPr>
                <w:b/>
                <w:sz w:val="16"/>
              </w:rPr>
              <w:t>Limitation</w:t>
            </w:r>
          </w:p>
        </w:tc>
      </w:tr>
      <w:tr>
        <w:tc>
          <w:tcPr>
            <w:tcW w:type="dxa" w:w="3408"/>
            <w:vAlign w:val="center"/>
          </w:tcPr>
          <w:p>
            <w:pPr>
              <w:spacing w:after="0"/>
            </w:pPr>
            <w:r/>
            <w:r>
              <w:rPr>
                <w:b w:val="0"/>
                <w:sz w:val="16"/>
              </w:rPr>
              <w:t>Standard CNN Classifiers – ResNet &amp; DenseNet</w:t>
            </w:r>
          </w:p>
        </w:tc>
        <w:tc>
          <w:tcPr>
            <w:tcW w:type="dxa" w:w="3408"/>
            <w:vAlign w:val="center"/>
          </w:tcPr>
          <w:p>
            <w:pPr>
              <w:spacing w:after="0"/>
            </w:pPr>
            <w:r/>
            <w:r>
              <w:rPr>
                <w:b w:val="0"/>
                <w:sz w:val="16"/>
              </w:rPr>
              <w:t>Strong image-classification performance on chest X-rays such as ChestX-ray14.</w:t>
            </w:r>
          </w:p>
        </w:tc>
        <w:tc>
          <w:tcPr>
            <w:tcW w:type="dxa" w:w="3408"/>
            <w:vAlign w:val="center"/>
          </w:tcPr>
          <w:p>
            <w:pPr>
              <w:spacing w:after="0"/>
            </w:pPr>
            <w:r/>
            <w:r>
              <w:rPr>
                <w:b w:val="0"/>
                <w:sz w:val="16"/>
              </w:rPr>
              <w:t>Primarily classification-oriented and lacks integrated report generation and multimodal explanation.</w:t>
            </w:r>
          </w:p>
        </w:tc>
      </w:tr>
      <w:tr>
        <w:tc>
          <w:tcPr>
            <w:tcW w:type="dxa" w:w="3408"/>
            <w:vAlign w:val="center"/>
          </w:tcPr>
          <w:p>
            <w:pPr>
              <w:spacing w:after="0"/>
            </w:pPr>
            <w:r/>
            <w:r>
              <w:rPr>
                <w:b w:val="0"/>
                <w:sz w:val="16"/>
              </w:rPr>
              <w:t>Large Vision-Language Models</w:t>
            </w:r>
          </w:p>
        </w:tc>
        <w:tc>
          <w:tcPr>
            <w:tcW w:type="dxa" w:w="3408"/>
            <w:vAlign w:val="center"/>
          </w:tcPr>
          <w:p>
            <w:pPr>
              <w:spacing w:after="0"/>
            </w:pPr>
            <w:r/>
            <w:r>
              <w:rPr>
                <w:b w:val="0"/>
                <w:sz w:val="16"/>
              </w:rPr>
              <w:t>Can generate clinical-style reports by combining image and language information.</w:t>
            </w:r>
          </w:p>
        </w:tc>
        <w:tc>
          <w:tcPr>
            <w:tcW w:type="dxa" w:w="3408"/>
            <w:vAlign w:val="center"/>
          </w:tcPr>
          <w:p>
            <w:pPr>
              <w:spacing w:after="0"/>
            </w:pPr>
            <w:r/>
            <w:r>
              <w:rPr>
                <w:b w:val="0"/>
                <w:sz w:val="16"/>
              </w:rPr>
              <w:t>Heavy Transformer architectures can require GPU servers and stable cloud APIs, making offline edge deployment difficult.</w:t>
            </w:r>
          </w:p>
        </w:tc>
      </w:tr>
      <w:tr>
        <w:tc>
          <w:tcPr>
            <w:tcW w:type="dxa" w:w="3408"/>
            <w:vAlign w:val="center"/>
          </w:tcPr>
          <w:p>
            <w:pPr>
              <w:spacing w:after="0"/>
            </w:pPr>
            <w:r/>
            <w:r>
              <w:rPr>
                <w:b w:val="0"/>
                <w:sz w:val="16"/>
              </w:rPr>
              <w:t>Standalone Saliency / Heatmap Methods</w:t>
            </w:r>
          </w:p>
        </w:tc>
        <w:tc>
          <w:tcPr>
            <w:tcW w:type="dxa" w:w="3408"/>
            <w:vAlign w:val="center"/>
          </w:tcPr>
          <w:p>
            <w:pPr>
              <w:spacing w:after="0"/>
            </w:pPr>
            <w:r/>
            <w:r>
              <w:rPr>
                <w:b w:val="0"/>
                <w:sz w:val="16"/>
              </w:rPr>
              <w:t>Highlight image regions that contribute to model predictions.</w:t>
            </w:r>
          </w:p>
        </w:tc>
        <w:tc>
          <w:tcPr>
            <w:tcW w:type="dxa" w:w="3408"/>
            <w:vAlign w:val="center"/>
          </w:tcPr>
          <w:p>
            <w:pPr>
              <w:spacing w:after="0"/>
            </w:pPr>
            <w:r/>
            <w:r>
              <w:rPr>
                <w:b w:val="0"/>
                <w:sz w:val="16"/>
              </w:rPr>
              <w:t>Do not by themselves explain clinical severity or provide actionable triage advice.</w:t>
            </w:r>
          </w:p>
        </w:tc>
      </w:tr>
    </w:tbl>
    <w:p/>
    <w:p>
      <w:pPr>
        <w:pStyle w:val="Heading2"/>
      </w:pPr>
      <w:r>
        <w:t>3.2 Identified Research Gaps</w:t>
      </w:r>
    </w:p>
    <w:p>
      <w:pPr>
        <w:pStyle w:val="ListBullet"/>
      </w:pPr>
      <w:r>
        <w:t>Absence of Explainable Multimodal Grounding: Existing systems rarely combine textual diagnostics with exact visual heatmap verification.</w:t>
      </w:r>
    </w:p>
    <w:p>
      <w:pPr>
        <w:pStyle w:val="ListBullet"/>
      </w:pPr>
      <w:r>
        <w:t>High Computational Overhead: There is a need for quantized, offline-capable vision-language approaches suitable for edge smartphone hardware.</w:t>
      </w:r>
    </w:p>
    <w:p>
      <w:pPr>
        <w:pStyle w:val="ListBullet"/>
      </w:pPr>
      <w:r>
        <w:t>Lack of Actionable Triage Systems: Standard models output probabilities without translating them into useful emergency referral timelines for health workers.</w:t>
      </w:r>
    </w:p>
    <w:p>
      <w:pPr>
        <w:pStyle w:val="Heading2"/>
      </w:pPr>
      <w:r>
        <w:t>3.3 Datasets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Dataset</w:t>
            </w:r>
          </w:p>
        </w:tc>
        <w:tc>
          <w:tcPr>
            <w:tcW w:type="dxa" w:w="3408"/>
            <w:vAlign w:val="center"/>
            <w:shd w:fill="D9EAF7"/>
          </w:tcPr>
          <w:p>
            <w:pPr>
              <w:spacing w:after="0"/>
            </w:pPr>
            <w:r/>
            <w:r>
              <w:rPr>
                <w:b/>
                <w:sz w:val="17"/>
              </w:rPr>
              <w:t>Resource</w:t>
            </w:r>
          </w:p>
        </w:tc>
        <w:tc>
          <w:tcPr>
            <w:tcW w:type="dxa" w:w="3408"/>
            <w:vAlign w:val="center"/>
            <w:shd w:fill="D9EAF7"/>
          </w:tcPr>
          <w:p>
            <w:pPr>
              <w:spacing w:after="0"/>
            </w:pPr>
            <w:r/>
            <w:r>
              <w:rPr>
                <w:b/>
                <w:sz w:val="17"/>
              </w:rPr>
              <w:t>Key Details</w:t>
            </w:r>
          </w:p>
        </w:tc>
      </w:tr>
      <w:tr>
        <w:tc>
          <w:tcPr>
            <w:tcW w:type="dxa" w:w="3408"/>
            <w:vAlign w:val="center"/>
          </w:tcPr>
          <w:p>
            <w:pPr>
              <w:spacing w:after="0"/>
            </w:pPr>
            <w:r/>
            <w:r>
              <w:rPr>
                <w:b w:val="0"/>
                <w:sz w:val="17"/>
              </w:rPr>
              <w:t>ChestX-ray14</w:t>
            </w:r>
          </w:p>
        </w:tc>
        <w:tc>
          <w:tcPr>
            <w:tcW w:type="dxa" w:w="3408"/>
            <w:vAlign w:val="center"/>
          </w:tcPr>
          <w:p>
            <w:pPr>
              <w:spacing w:after="0"/>
            </w:pPr>
            <w:r/>
            <w:r>
              <w:rPr>
                <w:b w:val="0"/>
                <w:sz w:val="17"/>
              </w:rPr>
              <w:t>NIH CC Box</w:t>
            </w:r>
          </w:p>
        </w:tc>
        <w:tc>
          <w:tcPr>
            <w:tcW w:type="dxa" w:w="3408"/>
            <w:vAlign w:val="center"/>
          </w:tcPr>
          <w:p>
            <w:pPr>
              <w:spacing w:after="0"/>
            </w:pPr>
            <w:r/>
            <w:r>
              <w:rPr>
                <w:b w:val="0"/>
                <w:sz w:val="17"/>
              </w:rPr>
              <w:t>112,120 chest X-rays with 14 disease labels.</w:t>
            </w:r>
          </w:p>
        </w:tc>
      </w:tr>
      <w:tr>
        <w:tc>
          <w:tcPr>
            <w:tcW w:type="dxa" w:w="3408"/>
            <w:vAlign w:val="center"/>
          </w:tcPr>
          <w:p>
            <w:pPr>
              <w:spacing w:after="0"/>
            </w:pPr>
            <w:r/>
            <w:r>
              <w:rPr>
                <w:b w:val="0"/>
                <w:sz w:val="17"/>
              </w:rPr>
              <w:t>OpenI (OpenAccess)</w:t>
            </w:r>
          </w:p>
        </w:tc>
        <w:tc>
          <w:tcPr>
            <w:tcW w:type="dxa" w:w="3408"/>
            <w:vAlign w:val="center"/>
          </w:tcPr>
          <w:p>
            <w:pPr>
              <w:spacing w:after="0"/>
            </w:pPr>
            <w:r/>
            <w:r>
              <w:rPr>
                <w:b w:val="0"/>
                <w:sz w:val="17"/>
              </w:rPr>
              <w:t>NLM OpenI</w:t>
            </w:r>
          </w:p>
        </w:tc>
        <w:tc>
          <w:tcPr>
            <w:tcW w:type="dxa" w:w="3408"/>
            <w:vAlign w:val="center"/>
          </w:tcPr>
          <w:p>
            <w:pPr>
              <w:spacing w:after="0"/>
            </w:pPr>
            <w:r/>
            <w:r>
              <w:rPr>
                <w:b w:val="0"/>
                <w:sz w:val="17"/>
              </w:rPr>
              <w:t>7,470 X-rays paired with clinical radiology reports.</w:t>
            </w:r>
          </w:p>
        </w:tc>
      </w:tr>
      <w:tr>
        <w:tc>
          <w:tcPr>
            <w:tcW w:type="dxa" w:w="3408"/>
            <w:vAlign w:val="center"/>
          </w:tcPr>
          <w:p>
            <w:pPr>
              <w:spacing w:after="0"/>
            </w:pPr>
            <w:r/>
            <w:r>
              <w:rPr>
                <w:b w:val="0"/>
                <w:sz w:val="17"/>
              </w:rPr>
              <w:t>ROCO Medical</w:t>
            </w:r>
          </w:p>
        </w:tc>
        <w:tc>
          <w:tcPr>
            <w:tcW w:type="dxa" w:w="3408"/>
            <w:vAlign w:val="center"/>
          </w:tcPr>
          <w:p>
            <w:pPr>
              <w:spacing w:after="0"/>
            </w:pPr>
            <w:r/>
            <w:r>
              <w:rPr>
                <w:b w:val="0"/>
                <w:sz w:val="17"/>
              </w:rPr>
              <w:t>GitHub / ROCO</w:t>
            </w:r>
          </w:p>
        </w:tc>
        <w:tc>
          <w:tcPr>
            <w:tcW w:type="dxa" w:w="3408"/>
            <w:vAlign w:val="center"/>
          </w:tcPr>
          <w:p>
            <w:pPr>
              <w:spacing w:after="0"/>
            </w:pPr>
            <w:r/>
            <w:r>
              <w:rPr>
                <w:b w:val="0"/>
                <w:sz w:val="17"/>
              </w:rPr>
              <w:t>Multimodal radiology dataset for text-image alignment.</w:t>
            </w:r>
          </w:p>
        </w:tc>
      </w:tr>
    </w:tbl>
    <w:p/>
    <w:p>
      <w:pPr>
        <w:pStyle w:val="Heading1"/>
      </w:pPr>
      <w:r>
        <w:t>4. METHODOLOGY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6"/>
              </w:rPr>
              <w:t>Stage</w:t>
            </w:r>
          </w:p>
        </w:tc>
        <w:tc>
          <w:tcPr>
            <w:tcW w:type="dxa" w:w="5112"/>
            <w:vAlign w:val="center"/>
            <w:shd w:fill="D9EAF7"/>
          </w:tcPr>
          <w:p>
            <w:pPr>
              <w:spacing w:after="0"/>
            </w:pPr>
            <w:r/>
            <w:r>
              <w:rPr>
                <w:b/>
                <w:sz w:val="16"/>
              </w:rPr>
              <w:t>Approach</w:t>
            </w:r>
          </w:p>
        </w:tc>
      </w:tr>
      <w:tr>
        <w:tc>
          <w:tcPr>
            <w:tcW w:type="dxa" w:w="5112"/>
            <w:vAlign w:val="center"/>
          </w:tcPr>
          <w:p>
            <w:pPr>
              <w:spacing w:after="0"/>
            </w:pPr>
            <w:r/>
            <w:r>
              <w:rPr>
                <w:b w:val="0"/>
                <w:sz w:val="16"/>
              </w:rPr>
              <w:t>Data-Driven Class Selection</w:t>
            </w:r>
          </w:p>
        </w:tc>
        <w:tc>
          <w:tcPr>
            <w:tcW w:type="dxa" w:w="5112"/>
            <w:vAlign w:val="center"/>
          </w:tcPr>
          <w:p>
            <w:pPr>
              <w:spacing w:after="0"/>
            </w:pPr>
            <w:r/>
            <w:r>
              <w:rPr>
                <w:b w:val="0"/>
                <w:sz w:val="16"/>
              </w:rPr>
              <w:t>Retain 11 of 14 NIH conditions based on measured per-class support.</w:t>
            </w:r>
          </w:p>
        </w:tc>
      </w:tr>
      <w:tr>
        <w:tc>
          <w:tcPr>
            <w:tcW w:type="dxa" w:w="5112"/>
            <w:vAlign w:val="center"/>
          </w:tcPr>
          <w:p>
            <w:pPr>
              <w:spacing w:after="0"/>
            </w:pPr>
            <w:r/>
            <w:r>
              <w:rPr>
                <w:b w:val="0"/>
                <w:sz w:val="16"/>
              </w:rPr>
              <w:t>Frozen-Backbone Transfer Learning</w:t>
            </w:r>
          </w:p>
        </w:tc>
        <w:tc>
          <w:tcPr>
            <w:tcW w:type="dxa" w:w="5112"/>
            <w:vAlign w:val="center"/>
          </w:tcPr>
          <w:p>
            <w:pPr>
              <w:spacing w:after="0"/>
            </w:pPr>
            <w:r/>
            <w:r>
              <w:rPr>
                <w:b w:val="0"/>
                <w:sz w:val="16"/>
              </w:rPr>
              <w:t>Use ImageNet-pretrained ViT-B/32 and DenseNet121; fine-tune only final blocks.</w:t>
            </w:r>
          </w:p>
        </w:tc>
      </w:tr>
      <w:tr>
        <w:tc>
          <w:tcPr>
            <w:tcW w:type="dxa" w:w="5112"/>
            <w:vAlign w:val="center"/>
          </w:tcPr>
          <w:p>
            <w:pPr>
              <w:spacing w:after="0"/>
            </w:pPr>
            <w:r/>
            <w:r>
              <w:rPr>
                <w:b w:val="0"/>
                <w:sz w:val="16"/>
              </w:rPr>
              <w:t>Imbalance-Aware Training</w:t>
            </w:r>
          </w:p>
        </w:tc>
        <w:tc>
          <w:tcPr>
            <w:tcW w:type="dxa" w:w="5112"/>
            <w:vAlign w:val="center"/>
          </w:tcPr>
          <w:p>
            <w:pPr>
              <w:spacing w:after="0"/>
            </w:pPr>
            <w:r/>
            <w:r>
              <w:rPr>
                <w:b w:val="0"/>
                <w:sz w:val="16"/>
              </w:rPr>
              <w:t>Use weighted loss and best-checkpoint-by-F1 selection to counter class imbalance and overfitting.</w:t>
            </w:r>
          </w:p>
        </w:tc>
      </w:tr>
      <w:tr>
        <w:tc>
          <w:tcPr>
            <w:tcW w:type="dxa" w:w="5112"/>
            <w:vAlign w:val="center"/>
          </w:tcPr>
          <w:p>
            <w:pPr>
              <w:spacing w:after="0"/>
            </w:pPr>
            <w:r/>
            <w:r>
              <w:rPr>
                <w:b w:val="0"/>
                <w:sz w:val="16"/>
              </w:rPr>
              <w:t>Post-Hoc Threshold Tuning</w:t>
            </w:r>
          </w:p>
        </w:tc>
        <w:tc>
          <w:tcPr>
            <w:tcW w:type="dxa" w:w="5112"/>
            <w:vAlign w:val="center"/>
          </w:tcPr>
          <w:p>
            <w:pPr>
              <w:spacing w:after="0"/>
            </w:pPr>
            <w:r/>
            <w:r>
              <w:rPr>
                <w:b w:val="0"/>
                <w:sz w:val="16"/>
              </w:rPr>
              <w:t>Optimize per-class decision thresholds using precision-recall curves without retraining.</w:t>
            </w:r>
          </w:p>
        </w:tc>
      </w:tr>
      <w:tr>
        <w:tc>
          <w:tcPr>
            <w:tcW w:type="dxa" w:w="5112"/>
            <w:vAlign w:val="center"/>
          </w:tcPr>
          <w:p>
            <w:pPr>
              <w:spacing w:after="0"/>
            </w:pPr>
            <w:r/>
            <w:r>
              <w:rPr>
                <w:b w:val="0"/>
                <w:sz w:val="16"/>
              </w:rPr>
              <w:t>Retrieval-Augmented Reporting</w:t>
            </w:r>
          </w:p>
        </w:tc>
        <w:tc>
          <w:tcPr>
            <w:tcW w:type="dxa" w:w="5112"/>
            <w:vAlign w:val="center"/>
          </w:tcPr>
          <w:p>
            <w:pPr>
              <w:spacing w:after="0"/>
            </w:pPr>
            <w:r/>
            <w:r>
              <w:rPr>
                <w:b w:val="0"/>
                <w:sz w:val="16"/>
              </w:rPr>
              <w:t>Use TF-IDF grounding against real OpenI radiology report text.</w:t>
            </w:r>
          </w:p>
        </w:tc>
      </w:tr>
      <w:tr>
        <w:tc>
          <w:tcPr>
            <w:tcW w:type="dxa" w:w="5112"/>
            <w:vAlign w:val="center"/>
          </w:tcPr>
          <w:p>
            <w:pPr>
              <w:spacing w:after="0"/>
            </w:pPr>
            <w:r/>
            <w:r>
              <w:rPr>
                <w:b w:val="0"/>
                <w:sz w:val="16"/>
              </w:rPr>
              <w:t>Independent Cross-Checks</w:t>
            </w:r>
          </w:p>
        </w:tc>
        <w:tc>
          <w:tcPr>
            <w:tcW w:type="dxa" w:w="5112"/>
            <w:vAlign w:val="center"/>
          </w:tcPr>
          <w:p>
            <w:pPr>
              <w:spacing w:after="0"/>
            </w:pPr>
            <w:r/>
            <w:r>
              <w:rPr>
                <w:b w:val="0"/>
                <w:sz w:val="16"/>
              </w:rPr>
              <w:t>Use zero-shot CLIP and BLIP v1 as separate secondary signals.</w:t>
            </w:r>
          </w:p>
        </w:tc>
      </w:tr>
    </w:tbl>
    <w:p/>
    <w:p>
      <w:pPr>
        <w:pStyle w:val="Heading2"/>
      </w:pPr>
      <w:r>
        <w:t>4.1 Methodology Flow</w:t>
      </w:r>
    </w:p>
    <w:p>
      <w:pPr>
        <w:pStyle w:val="ListNumber"/>
      </w:pPr>
      <w:r>
        <w:t>Acquire and prepare chest X-ray and report datasets.</w:t>
      </w:r>
    </w:p>
    <w:p>
      <w:pPr>
        <w:pStyle w:val="ListNumber"/>
      </w:pPr>
      <w:r>
        <w:t>Select the supported disease conditions from ChestX-ray14.</w:t>
      </w:r>
    </w:p>
    <w:p>
      <w:pPr>
        <w:pStyle w:val="ListNumber"/>
      </w:pPr>
      <w:r>
        <w:t>Train/fine-tune ViT-B/32 and DenseNet121 using transfer learning.</w:t>
      </w:r>
    </w:p>
    <w:p>
      <w:pPr>
        <w:pStyle w:val="ListNumber"/>
      </w:pPr>
      <w:r>
        <w:t>Handle class imbalance using weighted loss and F1-based checkpoint selection.</w:t>
      </w:r>
    </w:p>
    <w:p>
      <w:pPr>
        <w:pStyle w:val="ListNumber"/>
      </w:pPr>
      <w:r>
        <w:t>Tune decision thresholds independently for each condition.</w:t>
      </w:r>
    </w:p>
    <w:p>
      <w:pPr>
        <w:pStyle w:val="ListNumber"/>
      </w:pPr>
      <w:r>
        <w:t>Generate visual explanations using attention-based visualization.</w:t>
      </w:r>
    </w:p>
    <w:p>
      <w:pPr>
        <w:pStyle w:val="ListNumber"/>
      </w:pPr>
      <w:r>
        <w:t>Retrieve relevant report text using TF-IDF and generate multi-condition reporting.</w:t>
      </w:r>
    </w:p>
    <w:p>
      <w:pPr>
        <w:pStyle w:val="ListNumber"/>
      </w:pPr>
      <w:r>
        <w:t>Apply independent CLIP and BLIP v1 cross-checks.</w:t>
      </w:r>
    </w:p>
    <w:p>
      <w:pPr>
        <w:pStyle w:val="ListNumber"/>
      </w:pPr>
      <w:r>
        <w:t>Pass the outputs to the rule-based triage component.</w:t>
      </w:r>
    </w:p>
    <w:p>
      <w:pPr>
        <w:pStyle w:val="ListNumber"/>
      </w:pPr>
      <w:r>
        <w:t>Present predictions, explanations and reports through the Streamlit application with PDF export.</w:t>
      </w:r>
    </w:p>
    <w:p>
      <w:pPr>
        <w:pStyle w:val="Heading1"/>
      </w:pPr>
      <w:r>
        <w:t>5. SYSTEM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Step</w:t>
            </w:r>
          </w:p>
        </w:tc>
        <w:tc>
          <w:tcPr>
            <w:tcW w:type="dxa" w:w="3408"/>
            <w:vAlign w:val="center"/>
            <w:shd w:fill="D9EAF7"/>
          </w:tcPr>
          <w:p>
            <w:pPr>
              <w:spacing w:after="0"/>
            </w:pPr>
            <w:r/>
            <w:r>
              <w:rPr>
                <w:b/>
                <w:sz w:val="17"/>
              </w:rPr>
              <w:t>Module</w:t>
            </w:r>
          </w:p>
        </w:tc>
        <w:tc>
          <w:tcPr>
            <w:tcW w:type="dxa" w:w="3408"/>
            <w:vAlign w:val="center"/>
            <w:shd w:fill="D9EAF7"/>
          </w:tcPr>
          <w:p>
            <w:pPr>
              <w:spacing w:after="0"/>
            </w:pPr>
            <w:r/>
            <w:r>
              <w:rPr>
                <w:b/>
                <w:sz w:val="17"/>
              </w:rPr>
              <w:t>Output</w:t>
            </w:r>
          </w:p>
        </w:tc>
      </w:tr>
      <w:tr>
        <w:tc>
          <w:tcPr>
            <w:tcW w:type="dxa" w:w="3408"/>
            <w:vAlign w:val="center"/>
          </w:tcPr>
          <w:p>
            <w:pPr>
              <w:spacing w:after="0"/>
            </w:pPr>
            <w:r/>
            <w:r>
              <w:rPr>
                <w:b w:val="0"/>
                <w:sz w:val="17"/>
              </w:rPr>
              <w:t>1</w:t>
            </w:r>
          </w:p>
        </w:tc>
        <w:tc>
          <w:tcPr>
            <w:tcW w:type="dxa" w:w="3408"/>
            <w:vAlign w:val="center"/>
          </w:tcPr>
          <w:p>
            <w:pPr>
              <w:spacing w:after="0"/>
            </w:pPr>
            <w:r/>
            <w:r>
              <w:rPr>
                <w:b w:val="0"/>
                <w:sz w:val="17"/>
              </w:rPr>
              <w:t>Upload</w:t>
            </w:r>
          </w:p>
        </w:tc>
        <w:tc>
          <w:tcPr>
            <w:tcW w:type="dxa" w:w="3408"/>
            <w:vAlign w:val="center"/>
          </w:tcPr>
          <w:p>
            <w:pPr>
              <w:spacing w:after="0"/>
            </w:pPr>
            <w:r/>
            <w:r>
              <w:rPr>
                <w:b w:val="0"/>
                <w:sz w:val="17"/>
              </w:rPr>
              <w:t>Chest X-ray (PNG / JPG)</w:t>
            </w:r>
          </w:p>
        </w:tc>
      </w:tr>
      <w:tr>
        <w:tc>
          <w:tcPr>
            <w:tcW w:type="dxa" w:w="3408"/>
            <w:vAlign w:val="center"/>
          </w:tcPr>
          <w:p>
            <w:pPr>
              <w:spacing w:after="0"/>
            </w:pPr>
            <w:r/>
            <w:r>
              <w:rPr>
                <w:b w:val="0"/>
                <w:sz w:val="17"/>
              </w:rPr>
              <w:t>2</w:t>
            </w:r>
          </w:p>
        </w:tc>
        <w:tc>
          <w:tcPr>
            <w:tcW w:type="dxa" w:w="3408"/>
            <w:vAlign w:val="center"/>
          </w:tcPr>
          <w:p>
            <w:pPr>
              <w:spacing w:after="0"/>
            </w:pPr>
            <w:r/>
            <w:r>
              <w:rPr>
                <w:b w:val="0"/>
                <w:sz w:val="17"/>
              </w:rPr>
              <w:t>Classify – ViT-B/32</w:t>
            </w:r>
          </w:p>
        </w:tc>
        <w:tc>
          <w:tcPr>
            <w:tcW w:type="dxa" w:w="3408"/>
            <w:vAlign w:val="center"/>
          </w:tcPr>
          <w:p>
            <w:pPr>
              <w:spacing w:after="0"/>
            </w:pPr>
            <w:r/>
            <w:r>
              <w:rPr>
                <w:b w:val="0"/>
                <w:sz w:val="17"/>
              </w:rPr>
              <w:t>11-condition prediction</w:t>
            </w:r>
          </w:p>
        </w:tc>
      </w:tr>
      <w:tr>
        <w:tc>
          <w:tcPr>
            <w:tcW w:type="dxa" w:w="3408"/>
            <w:vAlign w:val="center"/>
          </w:tcPr>
          <w:p>
            <w:pPr>
              <w:spacing w:after="0"/>
            </w:pPr>
            <w:r/>
            <w:r>
              <w:rPr>
                <w:b w:val="0"/>
                <w:sz w:val="17"/>
              </w:rPr>
              <w:t>3</w:t>
            </w:r>
          </w:p>
        </w:tc>
        <w:tc>
          <w:tcPr>
            <w:tcW w:type="dxa" w:w="3408"/>
            <w:vAlign w:val="center"/>
          </w:tcPr>
          <w:p>
            <w:pPr>
              <w:spacing w:after="0"/>
            </w:pPr>
            <w:r/>
            <w:r>
              <w:rPr>
                <w:b w:val="0"/>
                <w:sz w:val="17"/>
              </w:rPr>
              <w:t>Explain + Report</w:t>
            </w:r>
          </w:p>
        </w:tc>
        <w:tc>
          <w:tcPr>
            <w:tcW w:type="dxa" w:w="3408"/>
            <w:vAlign w:val="center"/>
          </w:tcPr>
          <w:p>
            <w:pPr>
              <w:spacing w:after="0"/>
            </w:pPr>
            <w:r/>
            <w:r>
              <w:rPr>
                <w:b w:val="0"/>
                <w:sz w:val="17"/>
              </w:rPr>
              <w:t>Attention heatmap + TF-IDF retrieval</w:t>
            </w:r>
          </w:p>
        </w:tc>
      </w:tr>
      <w:tr>
        <w:tc>
          <w:tcPr>
            <w:tcW w:type="dxa" w:w="3408"/>
            <w:vAlign w:val="center"/>
          </w:tcPr>
          <w:p>
            <w:pPr>
              <w:spacing w:after="0"/>
            </w:pPr>
            <w:r/>
            <w:r>
              <w:rPr>
                <w:b w:val="0"/>
                <w:sz w:val="17"/>
              </w:rPr>
              <w:t>4</w:t>
            </w:r>
          </w:p>
        </w:tc>
        <w:tc>
          <w:tcPr>
            <w:tcW w:type="dxa" w:w="3408"/>
            <w:vAlign w:val="center"/>
          </w:tcPr>
          <w:p>
            <w:pPr>
              <w:spacing w:after="0"/>
            </w:pPr>
            <w:r/>
            <w:r>
              <w:rPr>
                <w:b w:val="0"/>
                <w:sz w:val="17"/>
              </w:rPr>
              <w:t>Triage</w:t>
            </w:r>
          </w:p>
        </w:tc>
        <w:tc>
          <w:tcPr>
            <w:tcW w:type="dxa" w:w="3408"/>
            <w:vAlign w:val="center"/>
          </w:tcPr>
          <w:p>
            <w:pPr>
              <w:spacing w:after="0"/>
            </w:pPr>
            <w:r/>
            <w:r>
              <w:rPr>
                <w:b w:val="0"/>
                <w:sz w:val="17"/>
              </w:rPr>
              <w:t>Rule-based urgency scoring</w:t>
            </w:r>
          </w:p>
        </w:tc>
      </w:tr>
      <w:tr>
        <w:tc>
          <w:tcPr>
            <w:tcW w:type="dxa" w:w="3408"/>
            <w:vAlign w:val="center"/>
          </w:tcPr>
          <w:p>
            <w:pPr>
              <w:spacing w:after="0"/>
            </w:pPr>
            <w:r/>
            <w:r>
              <w:rPr>
                <w:b w:val="0"/>
                <w:sz w:val="17"/>
              </w:rPr>
              <w:t>5</w:t>
            </w:r>
          </w:p>
        </w:tc>
        <w:tc>
          <w:tcPr>
            <w:tcW w:type="dxa" w:w="3408"/>
            <w:vAlign w:val="center"/>
          </w:tcPr>
          <w:p>
            <w:pPr>
              <w:spacing w:after="0"/>
            </w:pPr>
            <w:r/>
            <w:r>
              <w:rPr>
                <w:b w:val="0"/>
                <w:sz w:val="17"/>
              </w:rPr>
              <w:t>Deliver</w:t>
            </w:r>
          </w:p>
        </w:tc>
        <w:tc>
          <w:tcPr>
            <w:tcW w:type="dxa" w:w="3408"/>
            <w:vAlign w:val="center"/>
          </w:tcPr>
          <w:p>
            <w:pPr>
              <w:spacing w:after="0"/>
            </w:pPr>
            <w:r/>
            <w:r>
              <w:rPr>
                <w:b w:val="0"/>
                <w:sz w:val="17"/>
              </w:rPr>
              <w:t>Streamlit UI + downloadable PDF report</w:t>
            </w:r>
          </w:p>
        </w:tc>
      </w:tr>
    </w:tbl>
    <w:p/>
    <w:p>
      <w:pPr/>
      <w:r>
        <w:rPr>
          <w:b w:val="0"/>
        </w:rPr>
        <w:t>Two independent branches—vision explainability and text reporting—recombine at the presentation layer, alongside supplementary CLIP and BLIP v1 cross-checks.</w:t>
      </w:r>
    </w:p>
    <w:p>
      <w:pPr>
        <w:pStyle w:val="Heading2"/>
      </w:pPr>
      <w:r>
        <w:t>5.1 End-to-End Architecture</w:t>
      </w:r>
    </w:p>
    <w:p>
      <w:pPr/>
      <w:r>
        <w:rPr>
          <w:b w:val="0"/>
        </w:rPr>
        <w:t>Chest X-ray → ViT-B/32 Classification → Attention Heatmap + TF-IDF Report Retrieval → Rule-based Triage → Streamlit UI / PDF Report</w:t>
      </w:r>
    </w:p>
    <w:p>
      <w:pPr>
        <w:pStyle w:val="Heading1"/>
      </w:pPr>
      <w:r>
        <w:t>6. TECHNICAL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7"/>
              </w:rPr>
              <w:t>Technology</w:t>
            </w:r>
          </w:p>
        </w:tc>
        <w:tc>
          <w:tcPr>
            <w:tcW w:type="dxa" w:w="5112"/>
            <w:vAlign w:val="center"/>
            <w:shd w:fill="D9EAF7"/>
          </w:tcPr>
          <w:p>
            <w:pPr>
              <w:spacing w:after="0"/>
            </w:pPr>
            <w:r/>
            <w:r>
              <w:rPr>
                <w:b/>
                <w:sz w:val="17"/>
              </w:rPr>
              <w:t>Purpose</w:t>
            </w:r>
          </w:p>
        </w:tc>
      </w:tr>
      <w:tr>
        <w:tc>
          <w:tcPr>
            <w:tcW w:type="dxa" w:w="5112"/>
            <w:vAlign w:val="center"/>
          </w:tcPr>
          <w:p>
            <w:pPr>
              <w:spacing w:after="0"/>
            </w:pPr>
            <w:r/>
            <w:r>
              <w:rPr>
                <w:b w:val="0"/>
                <w:sz w:val="17"/>
              </w:rPr>
              <w:t>Python / PyTorch / torchvision</w:t>
            </w:r>
          </w:p>
        </w:tc>
        <w:tc>
          <w:tcPr>
            <w:tcW w:type="dxa" w:w="5112"/>
            <w:vAlign w:val="center"/>
          </w:tcPr>
          <w:p>
            <w:pPr>
              <w:spacing w:after="0"/>
            </w:pPr>
            <w:r/>
            <w:r>
              <w:rPr>
                <w:b w:val="0"/>
                <w:sz w:val="17"/>
              </w:rPr>
              <w:t>Model definition, training and inference.</w:t>
            </w:r>
          </w:p>
        </w:tc>
      </w:tr>
      <w:tr>
        <w:tc>
          <w:tcPr>
            <w:tcW w:type="dxa" w:w="5112"/>
            <w:vAlign w:val="center"/>
          </w:tcPr>
          <w:p>
            <w:pPr>
              <w:spacing w:after="0"/>
            </w:pPr>
            <w:r/>
            <w:r>
              <w:rPr>
                <w:b w:val="0"/>
                <w:sz w:val="17"/>
              </w:rPr>
              <w:t>HuggingFace Transformers</w:t>
            </w:r>
          </w:p>
        </w:tc>
        <w:tc>
          <w:tcPr>
            <w:tcW w:type="dxa" w:w="5112"/>
            <w:vAlign w:val="center"/>
          </w:tcPr>
          <w:p>
            <w:pPr>
              <w:spacing w:after="0"/>
            </w:pPr>
            <w:r/>
            <w:r>
              <w:rPr>
                <w:b w:val="0"/>
                <w:sz w:val="17"/>
              </w:rPr>
              <w:t>CLIP and BLIP v1 cross-checks.</w:t>
            </w:r>
          </w:p>
        </w:tc>
      </w:tr>
      <w:tr>
        <w:tc>
          <w:tcPr>
            <w:tcW w:type="dxa" w:w="5112"/>
            <w:vAlign w:val="center"/>
          </w:tcPr>
          <w:p>
            <w:pPr>
              <w:spacing w:after="0"/>
            </w:pPr>
            <w:r/>
            <w:r>
              <w:rPr>
                <w:b w:val="0"/>
                <w:sz w:val="17"/>
              </w:rPr>
              <w:t>scikit-learn</w:t>
            </w:r>
          </w:p>
        </w:tc>
        <w:tc>
          <w:tcPr>
            <w:tcW w:type="dxa" w:w="5112"/>
            <w:vAlign w:val="center"/>
          </w:tcPr>
          <w:p>
            <w:pPr>
              <w:spacing w:after="0"/>
            </w:pPr>
            <w:r/>
            <w:r>
              <w:rPr>
                <w:b w:val="0"/>
                <w:sz w:val="17"/>
              </w:rPr>
              <w:t>TF-IDF, precision-recall curves and evaluation metrics.</w:t>
            </w:r>
          </w:p>
        </w:tc>
      </w:tr>
      <w:tr>
        <w:tc>
          <w:tcPr>
            <w:tcW w:type="dxa" w:w="5112"/>
            <w:vAlign w:val="center"/>
          </w:tcPr>
          <w:p>
            <w:pPr>
              <w:spacing w:after="0"/>
            </w:pPr>
            <w:r/>
            <w:r>
              <w:rPr>
                <w:b w:val="0"/>
                <w:sz w:val="17"/>
              </w:rPr>
              <w:t>OpenCV</w:t>
            </w:r>
          </w:p>
        </w:tc>
        <w:tc>
          <w:tcPr>
            <w:tcW w:type="dxa" w:w="5112"/>
            <w:vAlign w:val="center"/>
          </w:tcPr>
          <w:p>
            <w:pPr>
              <w:spacing w:after="0"/>
            </w:pPr>
            <w:r/>
            <w:r>
              <w:rPr>
                <w:b w:val="0"/>
                <w:sz w:val="17"/>
              </w:rPr>
              <w:t>Heatmap overlays and contour visualization.</w:t>
            </w:r>
          </w:p>
        </w:tc>
      </w:tr>
      <w:tr>
        <w:tc>
          <w:tcPr>
            <w:tcW w:type="dxa" w:w="5112"/>
            <w:vAlign w:val="center"/>
          </w:tcPr>
          <w:p>
            <w:pPr>
              <w:spacing w:after="0"/>
            </w:pPr>
            <w:r/>
            <w:r>
              <w:rPr>
                <w:b w:val="0"/>
                <w:sz w:val="17"/>
              </w:rPr>
              <w:t>pandas</w:t>
            </w:r>
          </w:p>
        </w:tc>
        <w:tc>
          <w:tcPr>
            <w:tcW w:type="dxa" w:w="5112"/>
            <w:vAlign w:val="center"/>
          </w:tcPr>
          <w:p>
            <w:pPr>
              <w:spacing w:after="0"/>
            </w:pPr>
            <w:r/>
            <w:r>
              <w:rPr>
                <w:b w:val="0"/>
                <w:sz w:val="17"/>
              </w:rPr>
              <w:t>Dataset and report handling.</w:t>
            </w:r>
          </w:p>
        </w:tc>
      </w:tr>
      <w:tr>
        <w:tc>
          <w:tcPr>
            <w:tcW w:type="dxa" w:w="5112"/>
            <w:vAlign w:val="center"/>
          </w:tcPr>
          <w:p>
            <w:pPr>
              <w:spacing w:after="0"/>
            </w:pPr>
            <w:r/>
            <w:r>
              <w:rPr>
                <w:b w:val="0"/>
                <w:sz w:val="17"/>
              </w:rPr>
              <w:t>Streamlit</w:t>
            </w:r>
          </w:p>
        </w:tc>
        <w:tc>
          <w:tcPr>
            <w:tcW w:type="dxa" w:w="5112"/>
            <w:vAlign w:val="center"/>
          </w:tcPr>
          <w:p>
            <w:pPr>
              <w:spacing w:after="0"/>
            </w:pPr>
            <w:r/>
            <w:r>
              <w:rPr>
                <w:b w:val="0"/>
                <w:sz w:val="17"/>
              </w:rPr>
              <w:t>Interactive web application.</w:t>
            </w:r>
          </w:p>
        </w:tc>
      </w:tr>
      <w:tr>
        <w:tc>
          <w:tcPr>
            <w:tcW w:type="dxa" w:w="5112"/>
            <w:vAlign w:val="center"/>
          </w:tcPr>
          <w:p>
            <w:pPr>
              <w:spacing w:after="0"/>
            </w:pPr>
            <w:r/>
            <w:r>
              <w:rPr>
                <w:b w:val="0"/>
                <w:sz w:val="17"/>
              </w:rPr>
              <w:t>fpdf2</w:t>
            </w:r>
          </w:p>
        </w:tc>
        <w:tc>
          <w:tcPr>
            <w:tcW w:type="dxa" w:w="5112"/>
            <w:vAlign w:val="center"/>
          </w:tcPr>
          <w:p>
            <w:pPr>
              <w:spacing w:after="0"/>
            </w:pPr>
            <w:r/>
            <w:r>
              <w:rPr>
                <w:b w:val="0"/>
                <w:sz w:val="17"/>
              </w:rPr>
              <w:t>Downloadable PDF reports.</w:t>
            </w:r>
          </w:p>
        </w:tc>
      </w:tr>
      <w:tr>
        <w:tc>
          <w:tcPr>
            <w:tcW w:type="dxa" w:w="5112"/>
            <w:vAlign w:val="center"/>
          </w:tcPr>
          <w:p>
            <w:pPr>
              <w:spacing w:after="0"/>
            </w:pPr>
            <w:r/>
            <w:r>
              <w:rPr>
                <w:b w:val="0"/>
                <w:sz w:val="17"/>
              </w:rPr>
              <w:t>Kaggle / kagglehub</w:t>
            </w:r>
          </w:p>
        </w:tc>
        <w:tc>
          <w:tcPr>
            <w:tcW w:type="dxa" w:w="5112"/>
            <w:vAlign w:val="center"/>
          </w:tcPr>
          <w:p>
            <w:pPr>
              <w:spacing w:after="0"/>
            </w:pPr>
            <w:r/>
            <w:r>
              <w:rPr>
                <w:b w:val="0"/>
                <w:sz w:val="17"/>
              </w:rPr>
              <w:t>Dataset acquisition.</w:t>
            </w:r>
          </w:p>
        </w:tc>
      </w:tr>
    </w:tbl>
    <w:p/>
    <w:p>
      <w:pPr>
        <w:pStyle w:val="Heading1"/>
      </w:pPr>
      <w:r>
        <w:t>7. CODE STRUCTURE &amp; IMPLEMENTATION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5"/>
              </w:rPr>
              <w:t>Pipeline Stage</w:t>
            </w:r>
          </w:p>
        </w:tc>
        <w:tc>
          <w:tcPr>
            <w:tcW w:type="dxa" w:w="3408"/>
            <w:vAlign w:val="center"/>
            <w:shd w:fill="D9EAF7"/>
          </w:tcPr>
          <w:p>
            <w:pPr>
              <w:spacing w:after="0"/>
            </w:pPr>
            <w:r/>
            <w:r>
              <w:rPr>
                <w:b/>
                <w:sz w:val="15"/>
              </w:rPr>
              <w:t>Key Files</w:t>
            </w:r>
          </w:p>
        </w:tc>
        <w:tc>
          <w:tcPr>
            <w:tcW w:type="dxa" w:w="3408"/>
            <w:vAlign w:val="center"/>
            <w:shd w:fill="D9EAF7"/>
          </w:tcPr>
          <w:p>
            <w:pPr>
              <w:spacing w:after="0"/>
            </w:pPr>
            <w:r/>
            <w:r>
              <w:rPr>
                <w:b/>
                <w:sz w:val="15"/>
              </w:rPr>
              <w:t>Purpose</w:t>
            </w:r>
          </w:p>
        </w:tc>
      </w:tr>
      <w:tr>
        <w:tc>
          <w:tcPr>
            <w:tcW w:type="dxa" w:w="3408"/>
            <w:vAlign w:val="center"/>
          </w:tcPr>
          <w:p>
            <w:pPr>
              <w:spacing w:after="0"/>
            </w:pPr>
            <w:r/>
            <w:r>
              <w:rPr>
                <w:b w:val="0"/>
                <w:sz w:val="15"/>
              </w:rPr>
              <w:t>Data</w:t>
            </w:r>
          </w:p>
        </w:tc>
        <w:tc>
          <w:tcPr>
            <w:tcW w:type="dxa" w:w="3408"/>
            <w:vAlign w:val="center"/>
          </w:tcPr>
          <w:p>
            <w:pPr>
              <w:spacing w:after="0"/>
            </w:pPr>
            <w:r/>
            <w:r>
              <w:rPr>
                <w:b w:val="0"/>
                <w:sz w:val="15"/>
              </w:rPr>
              <w:t>dataset.py, count_labels.py</w:t>
            </w:r>
          </w:p>
        </w:tc>
        <w:tc>
          <w:tcPr>
            <w:tcW w:type="dxa" w:w="3408"/>
            <w:vAlign w:val="center"/>
          </w:tcPr>
          <w:p>
            <w:pPr>
              <w:spacing w:after="0"/>
            </w:pPr>
            <w:r/>
            <w:r>
              <w:rPr>
                <w:b w:val="0"/>
                <w:sz w:val="15"/>
              </w:rPr>
              <w:t>Dataset preparation and class-support analysis.</w:t>
            </w:r>
          </w:p>
        </w:tc>
      </w:tr>
      <w:tr>
        <w:tc>
          <w:tcPr>
            <w:tcW w:type="dxa" w:w="3408"/>
            <w:vAlign w:val="center"/>
          </w:tcPr>
          <w:p>
            <w:pPr>
              <w:spacing w:after="0"/>
            </w:pPr>
            <w:r/>
            <w:r>
              <w:rPr>
                <w:b w:val="0"/>
                <w:sz w:val="15"/>
              </w:rPr>
              <w:t>Model</w:t>
            </w:r>
          </w:p>
        </w:tc>
        <w:tc>
          <w:tcPr>
            <w:tcW w:type="dxa" w:w="3408"/>
            <w:vAlign w:val="center"/>
          </w:tcPr>
          <w:p>
            <w:pPr>
              <w:spacing w:after="0"/>
            </w:pPr>
            <w:r/>
            <w:r>
              <w:rPr>
                <w:b w:val="0"/>
                <w:sz w:val="15"/>
              </w:rPr>
              <w:t>model.py, train.py</w:t>
            </w:r>
          </w:p>
        </w:tc>
        <w:tc>
          <w:tcPr>
            <w:tcW w:type="dxa" w:w="3408"/>
            <w:vAlign w:val="center"/>
          </w:tcPr>
          <w:p>
            <w:pPr>
              <w:spacing w:after="0"/>
            </w:pPr>
            <w:r/>
            <w:r>
              <w:rPr>
                <w:b w:val="0"/>
                <w:sz w:val="15"/>
              </w:rPr>
              <w:t>ViT-B/32 transfer learning and imbalance-aware training.</w:t>
            </w:r>
          </w:p>
        </w:tc>
      </w:tr>
      <w:tr>
        <w:tc>
          <w:tcPr>
            <w:tcW w:type="dxa" w:w="3408"/>
            <w:vAlign w:val="center"/>
          </w:tcPr>
          <w:p>
            <w:pPr>
              <w:spacing w:after="0"/>
            </w:pPr>
            <w:r/>
            <w:r>
              <w:rPr>
                <w:b w:val="0"/>
                <w:sz w:val="15"/>
              </w:rPr>
              <w:t>Explainability</w:t>
            </w:r>
          </w:p>
        </w:tc>
        <w:tc>
          <w:tcPr>
            <w:tcW w:type="dxa" w:w="3408"/>
            <w:vAlign w:val="center"/>
          </w:tcPr>
          <w:p>
            <w:pPr>
              <w:spacing w:after="0"/>
            </w:pPr>
            <w:r/>
            <w:r>
              <w:rPr>
                <w:b w:val="0"/>
                <w:sz w:val="15"/>
              </w:rPr>
              <w:t>gradcam.py</w:t>
            </w:r>
          </w:p>
        </w:tc>
        <w:tc>
          <w:tcPr>
            <w:tcW w:type="dxa" w:w="3408"/>
            <w:vAlign w:val="center"/>
          </w:tcPr>
          <w:p>
            <w:pPr>
              <w:spacing w:after="0"/>
            </w:pPr>
            <w:r/>
            <w:r>
              <w:rPr>
                <w:b w:val="0"/>
                <w:sz w:val="15"/>
              </w:rPr>
              <w:t>Attention-based explainability, heatmap and contour marking.</w:t>
            </w:r>
          </w:p>
        </w:tc>
      </w:tr>
      <w:tr>
        <w:tc>
          <w:tcPr>
            <w:tcW w:type="dxa" w:w="3408"/>
            <w:vAlign w:val="center"/>
          </w:tcPr>
          <w:p>
            <w:pPr>
              <w:spacing w:after="0"/>
            </w:pPr>
            <w:r/>
            <w:r>
              <w:rPr>
                <w:b w:val="0"/>
                <w:sz w:val="15"/>
              </w:rPr>
              <w:t>Evaluation</w:t>
            </w:r>
          </w:p>
        </w:tc>
        <w:tc>
          <w:tcPr>
            <w:tcW w:type="dxa" w:w="3408"/>
            <w:vAlign w:val="center"/>
          </w:tcPr>
          <w:p>
            <w:pPr>
              <w:spacing w:after="0"/>
            </w:pPr>
            <w:r/>
            <w:r>
              <w:rPr>
                <w:b w:val="0"/>
                <w:sz w:val="15"/>
              </w:rPr>
              <w:t>evaluate.py, tune_thresholds.py</w:t>
            </w:r>
          </w:p>
        </w:tc>
        <w:tc>
          <w:tcPr>
            <w:tcW w:type="dxa" w:w="3408"/>
            <w:vAlign w:val="center"/>
          </w:tcPr>
          <w:p>
            <w:pPr>
              <w:spacing w:after="0"/>
            </w:pPr>
            <w:r/>
            <w:r>
              <w:rPr>
                <w:b w:val="0"/>
                <w:sz w:val="15"/>
              </w:rPr>
              <w:t>Model evaluation and per-class threshold tuning.</w:t>
            </w:r>
          </w:p>
        </w:tc>
      </w:tr>
      <w:tr>
        <w:tc>
          <w:tcPr>
            <w:tcW w:type="dxa" w:w="3408"/>
            <w:vAlign w:val="center"/>
          </w:tcPr>
          <w:p>
            <w:pPr>
              <w:spacing w:after="0"/>
            </w:pPr>
            <w:r/>
            <w:r>
              <w:rPr>
                <w:b w:val="0"/>
                <w:sz w:val="15"/>
              </w:rPr>
              <w:t>Reporting</w:t>
            </w:r>
          </w:p>
        </w:tc>
        <w:tc>
          <w:tcPr>
            <w:tcW w:type="dxa" w:w="3408"/>
            <w:vAlign w:val="center"/>
          </w:tcPr>
          <w:p>
            <w:pPr>
              <w:spacing w:after="0"/>
            </w:pPr>
            <w:r/>
            <w:r>
              <w:rPr>
                <w:b w:val="0"/>
                <w:sz w:val="15"/>
              </w:rPr>
              <w:t>report_index.py, report_generator.py</w:t>
            </w:r>
          </w:p>
        </w:tc>
        <w:tc>
          <w:tcPr>
            <w:tcW w:type="dxa" w:w="3408"/>
            <w:vAlign w:val="center"/>
          </w:tcPr>
          <w:p>
            <w:pPr>
              <w:spacing w:after="0"/>
            </w:pPr>
            <w:r/>
            <w:r>
              <w:rPr>
                <w:b w:val="0"/>
                <w:sz w:val="15"/>
              </w:rPr>
              <w:t>TF-IDF indexing and multi-condition report generation.</w:t>
            </w:r>
          </w:p>
        </w:tc>
      </w:tr>
      <w:tr>
        <w:tc>
          <w:tcPr>
            <w:tcW w:type="dxa" w:w="3408"/>
            <w:vAlign w:val="center"/>
          </w:tcPr>
          <w:p>
            <w:pPr>
              <w:spacing w:after="0"/>
            </w:pPr>
            <w:r/>
            <w:r>
              <w:rPr>
                <w:b w:val="0"/>
                <w:sz w:val="15"/>
              </w:rPr>
              <w:t>Cross-checks</w:t>
            </w:r>
          </w:p>
        </w:tc>
        <w:tc>
          <w:tcPr>
            <w:tcW w:type="dxa" w:w="3408"/>
            <w:vAlign w:val="center"/>
          </w:tcPr>
          <w:p>
            <w:pPr>
              <w:spacing w:after="0"/>
            </w:pPr>
            <w:r/>
            <w:r>
              <w:rPr>
                <w:b w:val="0"/>
                <w:sz w:val="15"/>
              </w:rPr>
              <w:t>clip_verify.py, blip_caption.py</w:t>
            </w:r>
          </w:p>
        </w:tc>
        <w:tc>
          <w:tcPr>
            <w:tcW w:type="dxa" w:w="3408"/>
            <w:vAlign w:val="center"/>
          </w:tcPr>
          <w:p>
            <w:pPr>
              <w:spacing w:after="0"/>
            </w:pPr>
            <w:r/>
            <w:r>
              <w:rPr>
                <w:b w:val="0"/>
                <w:sz w:val="15"/>
              </w:rPr>
              <w:t>Independent CLIP and BLIP v1 verification.</w:t>
            </w:r>
          </w:p>
        </w:tc>
      </w:tr>
      <w:tr>
        <w:tc>
          <w:tcPr>
            <w:tcW w:type="dxa" w:w="3408"/>
            <w:vAlign w:val="center"/>
          </w:tcPr>
          <w:p>
            <w:pPr>
              <w:spacing w:after="0"/>
            </w:pPr>
            <w:r/>
            <w:r>
              <w:rPr>
                <w:b w:val="0"/>
                <w:sz w:val="15"/>
              </w:rPr>
              <w:t>Decision</w:t>
            </w:r>
          </w:p>
        </w:tc>
        <w:tc>
          <w:tcPr>
            <w:tcW w:type="dxa" w:w="3408"/>
            <w:vAlign w:val="center"/>
          </w:tcPr>
          <w:p>
            <w:pPr>
              <w:spacing w:after="0"/>
            </w:pPr>
            <w:r/>
            <w:r>
              <w:rPr>
                <w:b w:val="0"/>
                <w:sz w:val="15"/>
              </w:rPr>
              <w:t>triage.py</w:t>
            </w:r>
          </w:p>
        </w:tc>
        <w:tc>
          <w:tcPr>
            <w:tcW w:type="dxa" w:w="3408"/>
            <w:vAlign w:val="center"/>
          </w:tcPr>
          <w:p>
            <w:pPr>
              <w:spacing w:after="0"/>
            </w:pPr>
            <w:r/>
            <w:r>
              <w:rPr>
                <w:b w:val="0"/>
                <w:sz w:val="15"/>
              </w:rPr>
              <w:t>Deterministic urgency scoring.</w:t>
            </w:r>
          </w:p>
        </w:tc>
      </w:tr>
      <w:tr>
        <w:tc>
          <w:tcPr>
            <w:tcW w:type="dxa" w:w="3408"/>
            <w:vAlign w:val="center"/>
          </w:tcPr>
          <w:p>
            <w:pPr>
              <w:spacing w:after="0"/>
            </w:pPr>
            <w:r/>
            <w:r>
              <w:rPr>
                <w:b w:val="0"/>
                <w:sz w:val="15"/>
              </w:rPr>
              <w:t>Delivery</w:t>
            </w:r>
          </w:p>
        </w:tc>
        <w:tc>
          <w:tcPr>
            <w:tcW w:type="dxa" w:w="3408"/>
            <w:vAlign w:val="center"/>
          </w:tcPr>
          <w:p>
            <w:pPr>
              <w:spacing w:after="0"/>
            </w:pPr>
            <w:r/>
            <w:r>
              <w:rPr>
                <w:b w:val="0"/>
                <w:sz w:val="15"/>
              </w:rPr>
              <w:t>inference.py, report_pdf.py, app/app.py</w:t>
            </w:r>
          </w:p>
        </w:tc>
        <w:tc>
          <w:tcPr>
            <w:tcW w:type="dxa" w:w="3408"/>
            <w:vAlign w:val="center"/>
          </w:tcPr>
          <w:p>
            <w:pPr>
              <w:spacing w:after="0"/>
            </w:pPr>
            <w:r/>
            <w:r>
              <w:rPr>
                <w:b w:val="0"/>
                <w:sz w:val="15"/>
              </w:rPr>
              <w:t>Inference, Streamlit interface and downloadable PDF report.</w:t>
            </w:r>
          </w:p>
        </w:tc>
      </w:tr>
    </w:tbl>
    <w:p/>
    <w:p>
      <w:pPr>
        <w:pStyle w:val="Heading1"/>
      </w:pPr>
      <w:r>
        <w:t>8. RESULTS / OUTCOMES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8"/>
              </w:rPr>
              <w:t>Metric</w:t>
            </w:r>
          </w:p>
        </w:tc>
        <w:tc>
          <w:tcPr>
            <w:tcW w:type="dxa" w:w="5112"/>
            <w:vAlign w:val="center"/>
            <w:shd w:fill="D9EAF7"/>
          </w:tcPr>
          <w:p>
            <w:pPr>
              <w:spacing w:after="0"/>
            </w:pPr>
            <w:r/>
            <w:r>
              <w:rPr>
                <w:b/>
                <w:sz w:val="18"/>
              </w:rPr>
              <w:t>Result</w:t>
            </w:r>
          </w:p>
        </w:tc>
      </w:tr>
      <w:tr>
        <w:tc>
          <w:tcPr>
            <w:tcW w:type="dxa" w:w="5112"/>
            <w:vAlign w:val="center"/>
          </w:tcPr>
          <w:p>
            <w:pPr>
              <w:spacing w:after="0"/>
            </w:pPr>
            <w:r/>
            <w:r>
              <w:rPr>
                <w:b w:val="0"/>
                <w:sz w:val="18"/>
              </w:rPr>
              <w:t>Conditions Classified</w:t>
            </w:r>
          </w:p>
        </w:tc>
        <w:tc>
          <w:tcPr>
            <w:tcW w:type="dxa" w:w="5112"/>
            <w:vAlign w:val="center"/>
          </w:tcPr>
          <w:p>
            <w:pPr>
              <w:spacing w:after="0"/>
            </w:pPr>
            <w:r/>
            <w:r>
              <w:rPr>
                <w:b w:val="0"/>
                <w:sz w:val="18"/>
              </w:rPr>
              <w:t>11</w:t>
            </w:r>
          </w:p>
        </w:tc>
      </w:tr>
      <w:tr>
        <w:tc>
          <w:tcPr>
            <w:tcW w:type="dxa" w:w="5112"/>
            <w:vAlign w:val="center"/>
          </w:tcPr>
          <w:p>
            <w:pPr>
              <w:spacing w:after="0"/>
            </w:pPr>
            <w:r/>
            <w:r>
              <w:rPr>
                <w:b w:val="0"/>
                <w:sz w:val="18"/>
              </w:rPr>
              <w:t>Best Macro F1 – tuned</w:t>
            </w:r>
          </w:p>
        </w:tc>
        <w:tc>
          <w:tcPr>
            <w:tcW w:type="dxa" w:w="5112"/>
            <w:vAlign w:val="center"/>
          </w:tcPr>
          <w:p>
            <w:pPr>
              <w:spacing w:after="0"/>
            </w:pPr>
            <w:r/>
            <w:r>
              <w:rPr>
                <w:b w:val="0"/>
                <w:sz w:val="18"/>
              </w:rPr>
              <w:t>0.304</w:t>
            </w:r>
          </w:p>
        </w:tc>
      </w:tr>
      <w:tr>
        <w:tc>
          <w:tcPr>
            <w:tcW w:type="dxa" w:w="5112"/>
            <w:vAlign w:val="center"/>
          </w:tcPr>
          <w:p>
            <w:pPr>
              <w:spacing w:after="0"/>
            </w:pPr>
            <w:r/>
            <w:r>
              <w:rPr>
                <w:b w:val="0"/>
                <w:sz w:val="18"/>
              </w:rPr>
              <w:t>Real Reports Indexed</w:t>
            </w:r>
          </w:p>
        </w:tc>
        <w:tc>
          <w:tcPr>
            <w:tcW w:type="dxa" w:w="5112"/>
            <w:vAlign w:val="center"/>
          </w:tcPr>
          <w:p>
            <w:pPr>
              <w:spacing w:after="0"/>
            </w:pPr>
            <w:r/>
            <w:r>
              <w:rPr>
                <w:b w:val="0"/>
                <w:sz w:val="18"/>
              </w:rPr>
              <w:t>7,426</w:t>
            </w:r>
          </w:p>
        </w:tc>
      </w:tr>
    </w:tbl>
    <w:p/>
    <w:p>
      <w:pPr>
        <w:pStyle w:val="Heading2"/>
      </w:pPr>
      <w:r>
        <w:t>8.1 Backbone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Model</w:t>
            </w:r>
          </w:p>
        </w:tc>
        <w:tc>
          <w:tcPr>
            <w:tcW w:type="dxa" w:w="3408"/>
            <w:vAlign w:val="center"/>
            <w:shd w:fill="D9EAF7"/>
          </w:tcPr>
          <w:p>
            <w:pPr>
              <w:spacing w:after="0"/>
            </w:pPr>
            <w:r/>
            <w:r>
              <w:rPr>
                <w:b/>
                <w:sz w:val="17"/>
              </w:rPr>
              <w:t>Default Threshold (0.5) Macro F1</w:t>
            </w:r>
          </w:p>
        </w:tc>
        <w:tc>
          <w:tcPr>
            <w:tcW w:type="dxa" w:w="3408"/>
            <w:vAlign w:val="center"/>
            <w:shd w:fill="D9EAF7"/>
          </w:tcPr>
          <w:p>
            <w:pPr>
              <w:spacing w:after="0"/>
            </w:pPr>
            <w:r/>
            <w:r>
              <w:rPr>
                <w:b/>
                <w:sz w:val="17"/>
              </w:rPr>
              <w:t>Tuned Threshold Macro F1</w:t>
            </w:r>
          </w:p>
        </w:tc>
      </w:tr>
      <w:tr>
        <w:tc>
          <w:tcPr>
            <w:tcW w:type="dxa" w:w="3408"/>
            <w:vAlign w:val="center"/>
          </w:tcPr>
          <w:p>
            <w:pPr>
              <w:spacing w:after="0"/>
            </w:pPr>
            <w:r/>
            <w:r>
              <w:rPr>
                <w:b w:val="0"/>
                <w:sz w:val="17"/>
              </w:rPr>
              <w:t>DenseNet121</w:t>
            </w:r>
          </w:p>
        </w:tc>
        <w:tc>
          <w:tcPr>
            <w:tcW w:type="dxa" w:w="3408"/>
            <w:vAlign w:val="center"/>
          </w:tcPr>
          <w:p>
            <w:pPr>
              <w:spacing w:after="0"/>
            </w:pPr>
            <w:r/>
            <w:r>
              <w:rPr>
                <w:b w:val="0"/>
                <w:sz w:val="17"/>
              </w:rPr>
              <w:t>0.254</w:t>
            </w:r>
          </w:p>
        </w:tc>
        <w:tc>
          <w:tcPr>
            <w:tcW w:type="dxa" w:w="3408"/>
            <w:vAlign w:val="center"/>
          </w:tcPr>
          <w:p>
            <w:pPr>
              <w:spacing w:after="0"/>
            </w:pPr>
            <w:r/>
            <w:r>
              <w:rPr>
                <w:b w:val="0"/>
                <w:sz w:val="17"/>
              </w:rPr>
              <w:t>0.304</w:t>
            </w:r>
          </w:p>
        </w:tc>
      </w:tr>
      <w:tr>
        <w:tc>
          <w:tcPr>
            <w:tcW w:type="dxa" w:w="3408"/>
            <w:vAlign w:val="center"/>
          </w:tcPr>
          <w:p>
            <w:pPr>
              <w:spacing w:after="0"/>
            </w:pPr>
            <w:r/>
            <w:r>
              <w:rPr>
                <w:b w:val="0"/>
                <w:sz w:val="17"/>
              </w:rPr>
              <w:t>ViT-B/32</w:t>
            </w:r>
          </w:p>
        </w:tc>
        <w:tc>
          <w:tcPr>
            <w:tcW w:type="dxa" w:w="3408"/>
            <w:vAlign w:val="center"/>
          </w:tcPr>
          <w:p>
            <w:pPr>
              <w:spacing w:after="0"/>
            </w:pPr>
            <w:r/>
            <w:r>
              <w:rPr>
                <w:b w:val="0"/>
                <w:sz w:val="17"/>
              </w:rPr>
              <w:t>0.230</w:t>
            </w:r>
          </w:p>
        </w:tc>
        <w:tc>
          <w:tcPr>
            <w:tcW w:type="dxa" w:w="3408"/>
            <w:vAlign w:val="center"/>
          </w:tcPr>
          <w:p>
            <w:pPr>
              <w:spacing w:after="0"/>
            </w:pPr>
            <w:r/>
            <w:r>
              <w:rPr>
                <w:b w:val="0"/>
                <w:sz w:val="17"/>
              </w:rPr>
              <w:t>0.260</w:t>
            </w:r>
          </w:p>
        </w:tc>
      </w:tr>
    </w:tbl>
    <w:p/>
    <w:p>
      <w:pPr/>
      <w:r>
        <w:rPr>
          <w:b w:val="0"/>
        </w:rPr>
        <w:t>Why ViT scored slightly lower: Vision Transformers lack the built-in locality and translation-invariance biases of CNNs and typically need more training data to match CNN performance. The project used approximately 4,800 training images, making the observed gap an expected outcome rather than an implementation defect.</w:t>
      </w:r>
    </w:p>
    <w:p>
      <w:pPr>
        <w:pStyle w:val="Heading1"/>
      </w:pPr>
      <w:r>
        <w:t>9. PERFORMANCE EVALUATION &amp; DEEPER ANALYSIS</w:t>
      </w:r>
    </w:p>
    <w:p>
      <w:pPr>
        <w:pStyle w:val="Heading2"/>
      </w:pPr>
      <w:r>
        <w:t>9.1 Recall Improvement from Per-Class Threshold Tuning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Condition</w:t>
            </w:r>
          </w:p>
        </w:tc>
        <w:tc>
          <w:tcPr>
            <w:tcW w:type="dxa" w:w="3408"/>
            <w:vAlign w:val="center"/>
            <w:shd w:fill="D9EAF7"/>
          </w:tcPr>
          <w:p>
            <w:pPr>
              <w:spacing w:after="0"/>
            </w:pPr>
            <w:r/>
            <w:r>
              <w:rPr>
                <w:b/>
                <w:sz w:val="17"/>
              </w:rPr>
              <w:t>Default Threshold Recall</w:t>
            </w:r>
          </w:p>
        </w:tc>
        <w:tc>
          <w:tcPr>
            <w:tcW w:type="dxa" w:w="3408"/>
            <w:vAlign w:val="center"/>
            <w:shd w:fill="D9EAF7"/>
          </w:tcPr>
          <w:p>
            <w:pPr>
              <w:spacing w:after="0"/>
            </w:pPr>
            <w:r/>
            <w:r>
              <w:rPr>
                <w:b/>
                <w:sz w:val="17"/>
              </w:rPr>
              <w:t>Tuned Threshold Recall</w:t>
            </w:r>
          </w:p>
        </w:tc>
      </w:tr>
      <w:tr>
        <w:tc>
          <w:tcPr>
            <w:tcW w:type="dxa" w:w="3408"/>
            <w:vAlign w:val="center"/>
          </w:tcPr>
          <w:p>
            <w:pPr>
              <w:spacing w:after="0"/>
            </w:pPr>
            <w:r/>
            <w:r>
              <w:rPr>
                <w:b w:val="0"/>
                <w:sz w:val="17"/>
              </w:rPr>
              <w:t>Cardiomegaly</w:t>
            </w:r>
          </w:p>
        </w:tc>
        <w:tc>
          <w:tcPr>
            <w:tcW w:type="dxa" w:w="3408"/>
            <w:vAlign w:val="center"/>
          </w:tcPr>
          <w:p>
            <w:pPr>
              <w:spacing w:after="0"/>
            </w:pPr>
            <w:r/>
            <w:r>
              <w:rPr>
                <w:b w:val="0"/>
                <w:sz w:val="17"/>
              </w:rPr>
              <w:t>0.062</w:t>
            </w:r>
          </w:p>
        </w:tc>
        <w:tc>
          <w:tcPr>
            <w:tcW w:type="dxa" w:w="3408"/>
            <w:vAlign w:val="center"/>
          </w:tcPr>
          <w:p>
            <w:pPr>
              <w:spacing w:after="0"/>
            </w:pPr>
            <w:r/>
            <w:r>
              <w:rPr>
                <w:b w:val="0"/>
                <w:sz w:val="17"/>
              </w:rPr>
              <w:t>0.75</w:t>
            </w:r>
          </w:p>
        </w:tc>
      </w:tr>
      <w:tr>
        <w:tc>
          <w:tcPr>
            <w:tcW w:type="dxa" w:w="3408"/>
            <w:vAlign w:val="center"/>
          </w:tcPr>
          <w:p>
            <w:pPr>
              <w:spacing w:after="0"/>
            </w:pPr>
            <w:r/>
            <w:r>
              <w:rPr>
                <w:b w:val="0"/>
                <w:sz w:val="17"/>
              </w:rPr>
              <w:t>Mass</w:t>
            </w:r>
          </w:p>
        </w:tc>
        <w:tc>
          <w:tcPr>
            <w:tcW w:type="dxa" w:w="3408"/>
            <w:vAlign w:val="center"/>
          </w:tcPr>
          <w:p>
            <w:pPr>
              <w:spacing w:after="0"/>
            </w:pPr>
            <w:r/>
            <w:r>
              <w:rPr>
                <w:b w:val="0"/>
                <w:sz w:val="17"/>
              </w:rPr>
              <w:t>0.079</w:t>
            </w:r>
          </w:p>
        </w:tc>
        <w:tc>
          <w:tcPr>
            <w:tcW w:type="dxa" w:w="3408"/>
            <w:vAlign w:val="center"/>
          </w:tcPr>
          <w:p>
            <w:pPr>
              <w:spacing w:after="0"/>
            </w:pPr>
            <w:r/>
            <w:r>
              <w:rPr>
                <w:b w:val="0"/>
                <w:sz w:val="17"/>
              </w:rPr>
              <w:t>0.45</w:t>
            </w:r>
          </w:p>
        </w:tc>
      </w:tr>
      <w:tr>
        <w:tc>
          <w:tcPr>
            <w:tcW w:type="dxa" w:w="3408"/>
            <w:vAlign w:val="center"/>
          </w:tcPr>
          <w:p>
            <w:pPr>
              <w:spacing w:after="0"/>
            </w:pPr>
            <w:r/>
            <w:r>
              <w:rPr>
                <w:b w:val="0"/>
                <w:sz w:val="17"/>
              </w:rPr>
              <w:t>Pneumonia</w:t>
            </w:r>
          </w:p>
        </w:tc>
        <w:tc>
          <w:tcPr>
            <w:tcW w:type="dxa" w:w="3408"/>
            <w:vAlign w:val="center"/>
          </w:tcPr>
          <w:p>
            <w:pPr>
              <w:spacing w:after="0"/>
            </w:pPr>
            <w:r/>
            <w:r>
              <w:rPr>
                <w:b w:val="0"/>
                <w:sz w:val="17"/>
              </w:rPr>
              <w:t>0.000</w:t>
            </w:r>
          </w:p>
        </w:tc>
        <w:tc>
          <w:tcPr>
            <w:tcW w:type="dxa" w:w="3408"/>
            <w:vAlign w:val="center"/>
          </w:tcPr>
          <w:p>
            <w:pPr>
              <w:spacing w:after="0"/>
            </w:pPr>
            <w:r/>
            <w:r>
              <w:rPr>
                <w:b w:val="0"/>
                <w:sz w:val="17"/>
              </w:rPr>
              <w:t>0.33</w:t>
            </w:r>
          </w:p>
        </w:tc>
      </w:tr>
    </w:tbl>
    <w:p/>
    <w:p>
      <w:pPr/>
      <w:r>
        <w:rPr>
          <w:b w:val="0"/>
        </w:rPr>
        <w:t>Trade-off accepted deliberately: for a triage tool, a missed finding is treated as more costly than a false alarm.</w:t>
      </w:r>
    </w:p>
    <w:p>
      <w:pPr>
        <w:pStyle w:val="Heading2"/>
      </w:pPr>
      <w:r>
        <w:t>9.2 Explainability Validation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6"/>
              </w:rPr>
              <w:t>Measure</w:t>
            </w:r>
          </w:p>
        </w:tc>
        <w:tc>
          <w:tcPr>
            <w:tcW w:type="dxa" w:w="5112"/>
            <w:vAlign w:val="center"/>
            <w:shd w:fill="D9EAF7"/>
          </w:tcPr>
          <w:p>
            <w:pPr>
              <w:spacing w:after="0"/>
            </w:pPr>
            <w:r/>
            <w:r>
              <w:rPr>
                <w:b/>
                <w:sz w:val="16"/>
              </w:rPr>
              <w:t>Observed Result</w:t>
            </w:r>
          </w:p>
        </w:tc>
      </w:tr>
      <w:tr>
        <w:tc>
          <w:tcPr>
            <w:tcW w:type="dxa" w:w="5112"/>
            <w:vAlign w:val="center"/>
          </w:tcPr>
          <w:p>
            <w:pPr>
              <w:spacing w:after="0"/>
            </w:pPr>
            <w:r/>
            <w:r>
              <w:rPr>
                <w:b w:val="0"/>
                <w:sz w:val="16"/>
              </w:rPr>
              <w:t>Heatmap standard deviation</w:t>
            </w:r>
          </w:p>
        </w:tc>
        <w:tc>
          <w:tcPr>
            <w:tcW w:type="dxa" w:w="5112"/>
            <w:vAlign w:val="center"/>
          </w:tcPr>
          <w:p>
            <w:pPr>
              <w:spacing w:after="0"/>
            </w:pPr>
            <w:r/>
            <w:r>
              <w:rPr>
                <w:b w:val="0"/>
                <w:sz w:val="16"/>
              </w:rPr>
              <w:t>0.000 → 0.277</w:t>
            </w:r>
          </w:p>
        </w:tc>
      </w:tr>
      <w:tr>
        <w:tc>
          <w:tcPr>
            <w:tcW w:type="dxa" w:w="5112"/>
            <w:vAlign w:val="center"/>
          </w:tcPr>
          <w:p>
            <w:pPr>
              <w:spacing w:after="0"/>
            </w:pPr>
            <w:r/>
            <w:r>
              <w:rPr>
                <w:b w:val="0"/>
                <w:sz w:val="16"/>
              </w:rPr>
              <w:t>Visualization issue</w:t>
            </w:r>
          </w:p>
        </w:tc>
        <w:tc>
          <w:tcPr>
            <w:tcW w:type="dxa" w:w="5112"/>
            <w:vAlign w:val="center"/>
          </w:tcPr>
          <w:p>
            <w:pPr>
              <w:spacing w:after="0"/>
            </w:pPr>
            <w:r/>
            <w:r>
              <w:rPr>
                <w:b w:val="0"/>
                <w:sz w:val="16"/>
              </w:rPr>
              <w:t>Gradient-based Grad-CAM collapsed on the ViT because of token homogenization in the mostly-frozen backbone.</w:t>
            </w:r>
          </w:p>
        </w:tc>
      </w:tr>
      <w:tr>
        <w:tc>
          <w:tcPr>
            <w:tcW w:type="dxa" w:w="5112"/>
            <w:vAlign w:val="center"/>
          </w:tcPr>
          <w:p>
            <w:pPr>
              <w:spacing w:after="0"/>
            </w:pPr>
            <w:r/>
            <w:r>
              <w:rPr>
                <w:b w:val="0"/>
                <w:sz w:val="16"/>
              </w:rPr>
              <w:t>Resolution</w:t>
            </w:r>
          </w:p>
        </w:tc>
        <w:tc>
          <w:tcPr>
            <w:tcW w:type="dxa" w:w="5112"/>
            <w:vAlign w:val="center"/>
          </w:tcPr>
          <w:p>
            <w:pPr>
              <w:spacing w:after="0"/>
            </w:pPr>
            <w:r/>
            <w:r>
              <w:rPr>
                <w:b w:val="0"/>
                <w:sz w:val="16"/>
              </w:rPr>
              <w:t>Attention-based visualization, the standard ViT approach, restored genuine spatial signal.</w:t>
            </w:r>
          </w:p>
        </w:tc>
      </w:tr>
    </w:tbl>
    <w:p/>
    <w:p>
      <w:pPr>
        <w:pStyle w:val="Heading2"/>
      </w:pPr>
      <w:r>
        <w:t>9.3 Qualitative Validation</w:t>
      </w:r>
    </w:p>
    <w:p>
      <w:pPr/>
      <w:r>
        <w:rPr>
          <w:b w:val="0"/>
        </w:rPr>
        <w:t>On a held-out case with ground truth of Cardiomegaly, Edema and Effusion, the system correctly flagged Cardiomegaly at 99.9% confidence and Effusion after the multi-condition reporting upgrade.</w:t>
      </w:r>
    </w:p>
    <w:p>
      <w:pPr>
        <w:pStyle w:val="Heading1"/>
      </w:pPr>
      <w:r>
        <w:t>10. PROJECT DESIGN &amp; DEPLOYMENT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sz w:val="16"/>
              </w:rPr>
              <w:t>Component</w:t>
            </w:r>
          </w:p>
        </w:tc>
        <w:tc>
          <w:tcPr>
            <w:tcW w:type="dxa" w:w="5112"/>
            <w:vAlign w:val="center"/>
            <w:shd w:fill="D9EAF7"/>
          </w:tcPr>
          <w:p>
            <w:pPr>
              <w:spacing w:after="0"/>
            </w:pPr>
            <w:r/>
            <w:r>
              <w:rPr>
                <w:b/>
                <w:sz w:val="16"/>
              </w:rPr>
              <w:t>Design Choice</w:t>
            </w:r>
          </w:p>
        </w:tc>
      </w:tr>
      <w:tr>
        <w:tc>
          <w:tcPr>
            <w:tcW w:type="dxa" w:w="5112"/>
            <w:vAlign w:val="center"/>
          </w:tcPr>
          <w:p>
            <w:pPr>
              <w:spacing w:after="0"/>
            </w:pPr>
            <w:r/>
            <w:r>
              <w:rPr>
                <w:b w:val="0"/>
                <w:sz w:val="16"/>
              </w:rPr>
              <w:t>Input</w:t>
            </w:r>
          </w:p>
        </w:tc>
        <w:tc>
          <w:tcPr>
            <w:tcW w:type="dxa" w:w="5112"/>
            <w:vAlign w:val="center"/>
          </w:tcPr>
          <w:p>
            <w:pPr>
              <w:spacing w:after="0"/>
            </w:pPr>
            <w:r/>
            <w:r>
              <w:rPr>
                <w:b w:val="0"/>
                <w:sz w:val="16"/>
              </w:rPr>
              <w:t>Chest X-ray in PNG / JPG format.</w:t>
            </w:r>
          </w:p>
        </w:tc>
      </w:tr>
      <w:tr>
        <w:tc>
          <w:tcPr>
            <w:tcW w:type="dxa" w:w="5112"/>
            <w:vAlign w:val="center"/>
          </w:tcPr>
          <w:p>
            <w:pPr>
              <w:spacing w:after="0"/>
            </w:pPr>
            <w:r/>
            <w:r>
              <w:rPr>
                <w:b w:val="0"/>
                <w:sz w:val="16"/>
              </w:rPr>
              <w:t>Prediction</w:t>
            </w:r>
          </w:p>
        </w:tc>
        <w:tc>
          <w:tcPr>
            <w:tcW w:type="dxa" w:w="5112"/>
            <w:vAlign w:val="center"/>
          </w:tcPr>
          <w:p>
            <w:pPr>
              <w:spacing w:after="0"/>
            </w:pPr>
            <w:r/>
            <w:r>
              <w:rPr>
                <w:b w:val="0"/>
                <w:sz w:val="16"/>
              </w:rPr>
              <w:t>11-condition ViT-B/32 classifier.</w:t>
            </w:r>
          </w:p>
        </w:tc>
      </w:tr>
      <w:tr>
        <w:tc>
          <w:tcPr>
            <w:tcW w:type="dxa" w:w="5112"/>
            <w:vAlign w:val="center"/>
          </w:tcPr>
          <w:p>
            <w:pPr>
              <w:spacing w:after="0"/>
            </w:pPr>
            <w:r/>
            <w:r>
              <w:rPr>
                <w:b w:val="0"/>
                <w:sz w:val="16"/>
              </w:rPr>
              <w:t>Explainability</w:t>
            </w:r>
          </w:p>
        </w:tc>
        <w:tc>
          <w:tcPr>
            <w:tcW w:type="dxa" w:w="5112"/>
            <w:vAlign w:val="center"/>
          </w:tcPr>
          <w:p>
            <w:pPr>
              <w:spacing w:after="0"/>
            </w:pPr>
            <w:r/>
            <w:r>
              <w:rPr>
                <w:b w:val="0"/>
                <w:sz w:val="16"/>
              </w:rPr>
              <w:t>Attention-based heatmap and contour visualization.</w:t>
            </w:r>
          </w:p>
        </w:tc>
      </w:tr>
      <w:tr>
        <w:tc>
          <w:tcPr>
            <w:tcW w:type="dxa" w:w="5112"/>
            <w:vAlign w:val="center"/>
          </w:tcPr>
          <w:p>
            <w:pPr>
              <w:spacing w:after="0"/>
            </w:pPr>
            <w:r/>
            <w:r>
              <w:rPr>
                <w:b w:val="0"/>
                <w:sz w:val="16"/>
              </w:rPr>
              <w:t>Reporting</w:t>
            </w:r>
          </w:p>
        </w:tc>
        <w:tc>
          <w:tcPr>
            <w:tcW w:type="dxa" w:w="5112"/>
            <w:vAlign w:val="center"/>
          </w:tcPr>
          <w:p>
            <w:pPr>
              <w:spacing w:after="0"/>
            </w:pPr>
            <w:r/>
            <w:r>
              <w:rPr>
                <w:b w:val="0"/>
                <w:sz w:val="16"/>
              </w:rPr>
              <w:t>TF-IDF retrieval grounded in OpenI report text.</w:t>
            </w:r>
          </w:p>
        </w:tc>
      </w:tr>
      <w:tr>
        <w:tc>
          <w:tcPr>
            <w:tcW w:type="dxa" w:w="5112"/>
            <w:vAlign w:val="center"/>
          </w:tcPr>
          <w:p>
            <w:pPr>
              <w:spacing w:after="0"/>
            </w:pPr>
            <w:r/>
            <w:r>
              <w:rPr>
                <w:b w:val="0"/>
                <w:sz w:val="16"/>
              </w:rPr>
              <w:t>Triage</w:t>
            </w:r>
          </w:p>
        </w:tc>
        <w:tc>
          <w:tcPr>
            <w:tcW w:type="dxa" w:w="5112"/>
            <w:vAlign w:val="center"/>
          </w:tcPr>
          <w:p>
            <w:pPr>
              <w:spacing w:after="0"/>
            </w:pPr>
            <w:r/>
            <w:r>
              <w:rPr>
                <w:b w:val="0"/>
                <w:sz w:val="16"/>
              </w:rPr>
              <w:t>Deterministic rule-based urgency scoring.</w:t>
            </w:r>
          </w:p>
        </w:tc>
      </w:tr>
      <w:tr>
        <w:tc>
          <w:tcPr>
            <w:tcW w:type="dxa" w:w="5112"/>
            <w:vAlign w:val="center"/>
          </w:tcPr>
          <w:p>
            <w:pPr>
              <w:spacing w:after="0"/>
            </w:pPr>
            <w:r/>
            <w:r>
              <w:rPr>
                <w:b w:val="0"/>
                <w:sz w:val="16"/>
              </w:rPr>
              <w:t>Application</w:t>
            </w:r>
          </w:p>
        </w:tc>
        <w:tc>
          <w:tcPr>
            <w:tcW w:type="dxa" w:w="5112"/>
            <w:vAlign w:val="center"/>
          </w:tcPr>
          <w:p>
            <w:pPr>
              <w:spacing w:after="0"/>
            </w:pPr>
            <w:r/>
            <w:r>
              <w:rPr>
                <w:b w:val="0"/>
                <w:sz w:val="16"/>
              </w:rPr>
              <w:t>Streamlit interactive UI.</w:t>
            </w:r>
          </w:p>
        </w:tc>
      </w:tr>
      <w:tr>
        <w:tc>
          <w:tcPr>
            <w:tcW w:type="dxa" w:w="5112"/>
            <w:vAlign w:val="center"/>
          </w:tcPr>
          <w:p>
            <w:pPr>
              <w:spacing w:after="0"/>
            </w:pPr>
            <w:r/>
            <w:r>
              <w:rPr>
                <w:b w:val="0"/>
                <w:sz w:val="16"/>
              </w:rPr>
              <w:t>Output</w:t>
            </w:r>
          </w:p>
        </w:tc>
        <w:tc>
          <w:tcPr>
            <w:tcW w:type="dxa" w:w="5112"/>
            <w:vAlign w:val="center"/>
          </w:tcPr>
          <w:p>
            <w:pPr>
              <w:spacing w:after="0"/>
            </w:pPr>
            <w:r/>
            <w:r>
              <w:rPr>
                <w:b w:val="0"/>
                <w:sz w:val="16"/>
              </w:rPr>
              <w:t>Prediction, visual explanation, report and downloadable PDF.</w:t>
            </w:r>
          </w:p>
        </w:tc>
      </w:tr>
      <w:tr>
        <w:tc>
          <w:tcPr>
            <w:tcW w:type="dxa" w:w="5112"/>
            <w:vAlign w:val="center"/>
          </w:tcPr>
          <w:p>
            <w:pPr>
              <w:spacing w:after="0"/>
            </w:pPr>
            <w:r/>
            <w:r>
              <w:rPr>
                <w:b w:val="0"/>
                <w:sz w:val="16"/>
              </w:rPr>
              <w:t>Deployment Goal</w:t>
            </w:r>
          </w:p>
        </w:tc>
        <w:tc>
          <w:tcPr>
            <w:tcW w:type="dxa" w:w="5112"/>
            <w:vAlign w:val="center"/>
          </w:tcPr>
          <w:p>
            <w:pPr>
              <w:spacing w:after="0"/>
            </w:pPr>
            <w:r/>
            <w:r>
              <w:rPr>
                <w:b w:val="0"/>
                <w:sz w:val="16"/>
              </w:rPr>
              <w:t>Offline-oriented rural diagnostic support.</w:t>
            </w:r>
          </w:p>
        </w:tc>
      </w:tr>
    </w:tbl>
    <w:p/>
    <w:p>
      <w:pPr>
        <w:pStyle w:val="Heading1"/>
      </w:pPr>
      <w:r>
        <w:t>11. EXPECTED PROJECT OUTCOME</w:t>
      </w:r>
    </w:p>
    <w:p>
      <w:pPr>
        <w:pStyle w:val="ListBullet"/>
      </w:pPr>
      <w:r>
        <w:t>Explainable chest X-ray classification across 11 selected conditions.</w:t>
      </w:r>
    </w:p>
    <w:p>
      <w:pPr>
        <w:pStyle w:val="ListBullet"/>
      </w:pPr>
      <w:r>
        <w:t>Visual evidence that helps users inspect regions associated with predictions.</w:t>
      </w:r>
    </w:p>
    <w:p>
      <w:pPr>
        <w:pStyle w:val="ListBullet"/>
      </w:pPr>
      <w:r>
        <w:t>Retrieval-grounded multi-condition diagnostic reporting using real radiology report text.</w:t>
      </w:r>
    </w:p>
    <w:p>
      <w:pPr>
        <w:pStyle w:val="ListBullet"/>
      </w:pPr>
      <w:r>
        <w:t>Per-class threshold tuning to improve recall for triage-oriented use.</w:t>
      </w:r>
    </w:p>
    <w:p>
      <w:pPr>
        <w:pStyle w:val="ListBullet"/>
      </w:pPr>
      <w:r>
        <w:t>Rule-based urgency scoring to support prioritization of cases.</w:t>
      </w:r>
    </w:p>
    <w:p>
      <w:pPr>
        <w:pStyle w:val="ListBullet"/>
      </w:pPr>
      <w:r>
        <w:t>Independent CLIP and BLIP v1 signals for supplementary cross-checking.</w:t>
      </w:r>
    </w:p>
    <w:p>
      <w:pPr>
        <w:pStyle w:val="ListBullet"/>
      </w:pPr>
      <w:r>
        <w:t>Interactive Streamlit delivery with downloadable PDF reports.</w:t>
      </w:r>
    </w:p>
    <w:p>
      <w:pPr>
        <w:pStyle w:val="ListBullet"/>
      </w:pPr>
      <w:r>
        <w:t>A practical offline-oriented workflow aimed at reducing rural diagnostic delays.</w:t>
      </w:r>
    </w:p>
    <w:p>
      <w:pPr>
        <w:pStyle w:val="Heading1"/>
      </w:pPr>
      <w:r>
        <w:t>12. CONCLUSION</w:t>
      </w:r>
    </w:p>
    <w:p>
      <w:pPr/>
      <w:r>
        <w:rPr>
          <w:b w:val="0"/>
        </w:rPr>
        <w:t>The Explainable Vision-Language Diagnostic Assistant combines chest X-ray classification, visual explainability, retrieval-grounded reporting and rule-based triage in a single workflow. The implementation evaluates ViT-B/32 and DenseNet121 using transfer learning, addresses class imbalance through weighted training and threshold tuning, and uses attention-based visualization to obtain meaningful spatial evidence from the ViT model. The resulting system is designed as an offline-oriented decision-support tool for rural healthcare settings, with predictions, explanations, reports and priority guidance delivered through a Streamlit interface.</w:t>
      </w:r>
    </w:p>
    <w:p>
      <w:pPr>
        <w:pStyle w:val="Heading1"/>
      </w:pPr>
      <w:r>
        <w:t>13. KEY REFERENCES / RESOURCES</w:t>
      </w:r>
    </w:p>
    <w:p>
      <w:pPr>
        <w:pStyle w:val="ListBullet"/>
      </w:pPr>
      <w:r>
        <w:t>ChestX-ray14 – NIH Chest X-ray dataset.</w:t>
      </w:r>
    </w:p>
    <w:p>
      <w:pPr>
        <w:pStyle w:val="ListBullet"/>
      </w:pPr>
      <w:r>
        <w:t>OpenI – Indiana University / NLM OpenAccess chest X-ray and report collection.</w:t>
      </w:r>
    </w:p>
    <w:p>
      <w:pPr>
        <w:pStyle w:val="ListBullet"/>
      </w:pPr>
      <w:r>
        <w:t>ROCO Medical – radiology image-text dataset.</w:t>
      </w:r>
    </w:p>
    <w:p>
      <w:pPr>
        <w:pStyle w:val="ListBullet"/>
      </w:pPr>
      <w:r>
        <w:t>ResNet / DenseNet – standard deep-learning image-classification architectures used as relevant existing work and baselines.</w:t>
      </w:r>
    </w:p>
    <w:p>
      <w:pPr>
        <w:pStyle w:val="ListBullet"/>
      </w:pPr>
      <w:r>
        <w:t>CLIP – image-text representation learning used for an independent cross-check.</w:t>
      </w:r>
    </w:p>
    <w:p>
      <w:pPr>
        <w:pStyle w:val="ListBullet"/>
      </w:pPr>
      <w:r>
        <w:t>BLIP v1 – image captioning / vision-language cross-check.</w:t>
      </w:r>
    </w:p>
    <w:p>
      <w:pPr>
        <w:pStyle w:val="ListBullet"/>
      </w:pPr>
      <w:r>
        <w:t>TF-IDF – retrieval mechanism for grounding report generation in OpenI report text.</w:t>
      </w:r>
    </w:p>
    <w:p>
      <w:r>
        <w:br w:type="page"/>
      </w:r>
    </w:p>
    <w:p>
      <w:pPr>
        <w:jc w:val="center"/>
      </w:pPr>
      <w:r>
        <w:rPr>
          <w:b/>
          <w:sz w:val="40"/>
        </w:rPr>
        <w:t>THANK YOU</w:t>
      </w:r>
    </w:p>
    <w:sectPr w:rsidR="00FB2BA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8B79F" w14:textId="77777777" w:rsidR="004C44E7" w:rsidRDefault="004C44E7">
      <w:pPr>
        <w:spacing w:after="0" w:line="240" w:lineRule="auto"/>
      </w:pPr>
      <w:r>
        <w:separator/>
      </w:r>
    </w:p>
  </w:endnote>
  <w:endnote w:type="continuationSeparator" w:id="0">
    <w:p w14:paraId="414BD794" w14:textId="77777777" w:rsidR="004C44E7" w:rsidRDefault="004C4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3166" w14:textId="77777777" w:rsidR="00FB2BAA" w:rsidRDefault="00000000">
    <w:pPr>
      <w:pStyle w:val="Footer"/>
      <w:jc w:val="center"/>
    </w:pPr>
    <w:r>
      <w:t>Explainable Vision-Language Diagnostic Assistant | Project Review-2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0AAF4" w14:textId="77777777" w:rsidR="004C44E7" w:rsidRDefault="004C44E7">
      <w:pPr>
        <w:spacing w:after="0" w:line="240" w:lineRule="auto"/>
      </w:pPr>
      <w:r>
        <w:separator/>
      </w:r>
    </w:p>
  </w:footnote>
  <w:footnote w:type="continuationSeparator" w:id="0">
    <w:p w14:paraId="362D7763" w14:textId="77777777" w:rsidR="004C44E7" w:rsidRDefault="004C4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774358">
    <w:abstractNumId w:val="8"/>
  </w:num>
  <w:num w:numId="2" w16cid:durableId="1954480929">
    <w:abstractNumId w:val="6"/>
  </w:num>
  <w:num w:numId="3" w16cid:durableId="504394665">
    <w:abstractNumId w:val="5"/>
  </w:num>
  <w:num w:numId="4" w16cid:durableId="1269777762">
    <w:abstractNumId w:val="4"/>
  </w:num>
  <w:num w:numId="5" w16cid:durableId="126899883">
    <w:abstractNumId w:val="7"/>
  </w:num>
  <w:num w:numId="6" w16cid:durableId="61489034">
    <w:abstractNumId w:val="3"/>
  </w:num>
  <w:num w:numId="7" w16cid:durableId="870148040">
    <w:abstractNumId w:val="2"/>
  </w:num>
  <w:num w:numId="8" w16cid:durableId="212499616">
    <w:abstractNumId w:val="1"/>
  </w:num>
  <w:num w:numId="9" w16cid:durableId="26024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852"/>
    <w:rsid w:val="004C44E7"/>
    <w:rsid w:val="00661E36"/>
    <w:rsid w:val="00811E5B"/>
    <w:rsid w:val="00AA1D8D"/>
    <w:rsid w:val="00B47730"/>
    <w:rsid w:val="00CB0664"/>
    <w:rsid w:val="00FB2B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17D23"/>
  <w14:defaultImageDpi w14:val="300"/>
  <w15:docId w15:val="{CBE91101-366A-4BE5-B63F-E0F23900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3434</Words>
  <Characters>19579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 Sai</cp:lastModifiedBy>
  <cp:revision>3</cp:revision>
  <dcterms:created xsi:type="dcterms:W3CDTF">2013-12-23T23:15:00Z</dcterms:created>
  <dcterms:modified xsi:type="dcterms:W3CDTF">2026-08-18T14:11:00Z</dcterms:modified>
  <cp:category/>
</cp:coreProperties>
</file>