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1C1C1C"/>
  <w:body>
    <w:p>
      <w:pPr>
        <w:spacing w:after="400"/>
      </w:pPr>
    </w:p>
    <w:p>
      <w:pPr>
        <w:spacing w:after="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FFFFFF"/>
          <w:sz w:val="56"/>
          <w:szCs w:val="56"/>
        </w:rPr>
        <w:t xml:space="preserve">HackOn</w:t>
      </w:r>
      <w:r>
        <w:rPr>
          <w:rFonts w:ascii="Calibri" w:cs="Calibri" w:eastAsia="Calibri" w:hAnsi="Calibri"/>
          <w:b/>
          <w:bCs/>
          <w:color w:val="FF9900"/>
          <w:sz w:val="56"/>
          <w:szCs w:val="56"/>
        </w:rPr>
        <w:t xml:space="preserve"> with Amazon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9AA0A6"/>
          <w:sz w:val="28"/>
          <w:szCs w:val="28"/>
        </w:rPr>
        <w:t xml:space="preserve">A Universe of Opportunity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9AA0A6"/>
          <w:sz w:val="18"/>
          <w:szCs w:val="18"/>
        </w:rPr>
        <w:t xml:space="preserve">48-Hour Hackathon  |  Solution Document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Amazon Nemo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FF9900"/>
          <w:sz w:val="20"/>
          <w:szCs w:val="20"/>
        </w:rPr>
        <w:t xml:space="preserve">The intelligent bridge between returns and second-life buyers.</w:t>
      </w:r>
    </w:p>
    <w:p>
      <w:pPr>
        <w:pBdr>
          <w:bottom w:val="single" w:color="FF9900" w:sz="12" w:space="1"/>
        </w:pBdr>
        <w:spacing w:after="200" w:before="120"/>
      </w:pPr>
      <w:r>
        <w:rPr>
          <w:rFonts w:ascii="Calibri" w:cs="Calibri" w:eastAsia="Calibri" w:hAnsi="Calibri"/>
        </w:rPr>
        <w:t xml:space="preserve"/>
      </w:r>
    </w:p>
    <w:p>
      <w:pPr>
        <w:spacing w:after="200"/>
      </w:pPr>
    </w:p>
    <w:tbl>
      <w:tblPr>
        <w:tblW w:type="pct" w:w="100%"/>
        <w:tblBorders>
          <w:top w:val="single" w:color="3C3C3C" w:sz="2"/>
          <w:left w:val="single" w:color="3C3C3C" w:sz="2"/>
          <w:bottom w:val="single" w:color="3C3C3C" w:sz="2"/>
          <w:right w:val="single" w:color="3C3C3C" w:sz="2"/>
          <w:insideH w:val="single" w:color="3C3C3C" w:sz="2"/>
          <w:insideV w:val="single" w:color="3C3C3C" w:sz="2"/>
        </w:tblBorders>
      </w:tblPr>
      <w:tblGrid>
        <w:gridCol w:w="100"/>
        <w:gridCol w:w="100"/>
      </w:tblGrid>
      <w:tr>
        <w:tc>
          <w:tcPr>
            <w:tcW w:type="pct" w:w="32%"/>
            <w:shd w:fill="2C3A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 Name</w:t>
            </w:r>
          </w:p>
        </w:tc>
        <w:tc>
          <w:tcPr>
            <w:tcW w:type="pct" w:w="68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0A6"/>
                <w:sz w:val="20"/>
                <w:szCs w:val="20"/>
              </w:rPr>
              <w:t xml:space="preserve">[Your Team Name]</w:t>
            </w:r>
          </w:p>
        </w:tc>
      </w:tr>
      <w:tr>
        <w:tc>
          <w:tcPr>
            <w:tcW w:type="pct" w:w="32%"/>
            <w:shd w:fill="2C3A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Hackathon Theme</w:t>
            </w:r>
          </w:p>
        </w:tc>
        <w:tc>
          <w:tcPr>
            <w:tcW w:type="pct" w:w="68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0A6"/>
                <w:sz w:val="20"/>
                <w:szCs w:val="20"/>
              </w:rPr>
              <w:t xml:space="preserve">A Universe of Opportunity — Circular Commerce / Returns Reinvented</w:t>
            </w:r>
          </w:p>
        </w:tc>
      </w:tr>
      <w:tr>
        <w:tc>
          <w:tcPr>
            <w:tcW w:type="pct" w:w="32%"/>
            <w:shd w:fill="2C3A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pct" w:w="68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0A6"/>
                <w:sz w:val="20"/>
                <w:szCs w:val="20"/>
              </w:rPr>
              <w:t xml:space="preserve">Amazon Nemo — returns → second-life marketplace</w:t>
            </w:r>
          </w:p>
        </w:tc>
      </w:tr>
      <w:tr>
        <w:tc>
          <w:tcPr>
            <w:tcW w:type="pct" w:w="32%"/>
            <w:shd w:fill="2C3A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68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0A6"/>
                <w:sz w:val="20"/>
                <w:szCs w:val="20"/>
              </w:rPr>
              <w:t xml:space="preserve">[Submission Date]</w:t>
            </w:r>
          </w:p>
        </w:tc>
      </w:tr>
    </w:tbl>
    <w:p>
      <w:pPr>
        <w:spacing w:after="2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Team Members</w:t>
      </w:r>
    </w:p>
    <w:tbl>
      <w:tblPr>
        <w:tblW w:type="pct" w:w="100%"/>
        <w:tblBorders>
          <w:top w:val="single" w:color="3C3C3C" w:sz="2"/>
          <w:left w:val="single" w:color="3C3C3C" w:sz="2"/>
          <w:bottom w:val="single" w:color="3C3C3C" w:sz="2"/>
          <w:right w:val="single" w:color="3C3C3C" w:sz="2"/>
          <w:insideH w:val="single" w:color="3C3C3C" w:sz="2"/>
          <w:insideV w:val="single" w:color="3C3C3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A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shd w:fill="2C3A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College / University</w:t>
            </w:r>
          </w:p>
        </w:tc>
        <w:tc>
          <w:tcPr>
            <w:shd w:fill="2C3A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2C3A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AA0A6"/>
                <w:sz w:val="20"/>
                <w:szCs w:val="20"/>
              </w:rPr>
              <w:t xml:space="preserve">[Member 1]</w:t>
            </w:r>
          </w:p>
        </w:tc>
        <w:tc>
          <w:tcPr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AA0A6"/>
                <w:sz w:val="20"/>
                <w:szCs w:val="20"/>
              </w:rPr>
              <w:t xml:space="preserve">[College]</w:t>
            </w:r>
          </w:p>
        </w:tc>
        <w:tc>
          <w:tcPr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AA0A6"/>
                <w:sz w:val="20"/>
                <w:szCs w:val="20"/>
              </w:rPr>
              <w:t xml:space="preserve">Full-stack / Backend</w:t>
            </w:r>
          </w:p>
        </w:tc>
        <w:tc>
          <w:tcPr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AA0A6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AA0A6"/>
                <w:sz w:val="20"/>
                <w:szCs w:val="20"/>
              </w:rPr>
              <w:t xml:space="preserve">[Member 2]</w:t>
            </w:r>
          </w:p>
        </w:tc>
        <w:tc>
          <w:tcPr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AA0A6"/>
                <w:sz w:val="20"/>
                <w:szCs w:val="20"/>
              </w:rPr>
              <w:t xml:space="preserve">[College]</w:t>
            </w:r>
          </w:p>
        </w:tc>
        <w:tc>
          <w:tcPr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AA0A6"/>
                <w:sz w:val="20"/>
                <w:szCs w:val="20"/>
              </w:rPr>
              <w:t xml:space="preserve">Frontend / UX</w:t>
            </w:r>
          </w:p>
        </w:tc>
        <w:tc>
          <w:tcPr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AA0A6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AA0A6"/>
                <w:sz w:val="20"/>
                <w:szCs w:val="20"/>
              </w:rPr>
              <w:t xml:space="preserve">[Member 3]</w:t>
            </w:r>
          </w:p>
        </w:tc>
        <w:tc>
          <w:tcPr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AA0A6"/>
                <w:sz w:val="20"/>
                <w:szCs w:val="20"/>
              </w:rPr>
              <w:t xml:space="preserve">[College]</w:t>
            </w:r>
          </w:p>
        </w:tc>
        <w:tc>
          <w:tcPr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AA0A6"/>
                <w:sz w:val="20"/>
                <w:szCs w:val="20"/>
              </w:rPr>
              <w:t xml:space="preserve">AI / ML</w:t>
            </w:r>
          </w:p>
        </w:tc>
        <w:tc>
          <w:tcPr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AA0A6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AA0A6"/>
                <w:sz w:val="20"/>
                <w:szCs w:val="20"/>
              </w:rPr>
              <w:t xml:space="preserve">[Member 4]</w:t>
            </w:r>
          </w:p>
        </w:tc>
        <w:tc>
          <w:tcPr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AA0A6"/>
                <w:sz w:val="20"/>
                <w:szCs w:val="20"/>
              </w:rPr>
              <w:t xml:space="preserve">[College]</w:t>
            </w:r>
          </w:p>
        </w:tc>
        <w:tc>
          <w:tcPr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AA0A6"/>
                <w:sz w:val="20"/>
                <w:szCs w:val="20"/>
              </w:rPr>
              <w:t xml:space="preserve">Product / DevOps</w:t>
            </w:r>
          </w:p>
        </w:tc>
        <w:tc>
          <w:tcPr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AA0A6"/>
                <w:sz w:val="20"/>
                <w:szCs w:val="20"/>
              </w:rPr>
              <w:t xml:space="preserve">[Email]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FF9900"/>
          <w:sz w:val="30"/>
          <w:szCs w:val="30"/>
        </w:rPr>
        <w:t xml:space="preserve">1. 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Problem Statement &amp; Relevance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9AA0A6"/>
          <w:sz w:val="18"/>
          <w:szCs w:val="18"/>
        </w:rPr>
        <w:t xml:space="preserve">→ Jury focus: Innovativeness (novelty, theme alignment) + Degree of Disruption (global relevance)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The Problem</w:t>
      </w:r>
    </w:p>
    <w:p>
      <w:pPr>
        <w:spacing w:after="120" w:before="0" w:line="276"/>
      </w:pPr>
      <w:r>
        <w:rPr>
          <w:rFonts w:ascii="Calibri" w:cs="Calibri" w:eastAsia="Calibri" w:hAnsi="Calibri"/>
          <w:color w:val="D6D6D6"/>
          <w:sz w:val="21"/>
          <w:szCs w:val="21"/>
        </w:rPr>
        <w:t xml:space="preserve">Online retail returns have become one of e-commerce's largest, fastest-growing leaks. A return today flows through a slow, expensive reverse-logistics pipeline — ship back → warehouse intake → manual inspection → grading → repackaging → relisting — that can take weeks and cost more than the item is worth. The result: perfectly good products sit idle, get liquidated for pennies, or go straight to landfill.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Why It Matters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D6D6D6"/>
          <w:sz w:val="21"/>
          <w:szCs w:val="21"/>
        </w:rPr>
        <w:t xml:space="preserve">Returns are a global, trillion-dollar problem. Industry estimates put worldwide e-commerce returns at well over $1 trillion a year; in the US alone roughly 9+ billion lbs of returned product end up in landfill annually (Optoro), and category return rates run 25–40% in fashion. The cost of inaction is threefold — wasted recoverable value, avoidable reverse-logistics spend and storage, and millions of tonnes of needless CO₂ — while customers wait longer and pay more.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9AA0A6"/>
          <w:sz w:val="18"/>
          <w:szCs w:val="18"/>
        </w:rPr>
        <w:t xml:space="preserve">→ This is not a niche pain: it affects every marketplace, every seller, and hundreds of millions of buyers worldwide.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Theme Alignment</w:t>
      </w:r>
    </w:p>
    <w:p>
      <w:pPr>
        <w:spacing w:after="120" w:before="0" w:line="276"/>
      </w:pPr>
      <w:r>
        <w:rPr>
          <w:rFonts w:ascii="Calibri" w:cs="Calibri" w:eastAsia="Calibri" w:hAnsi="Calibri"/>
          <w:color w:val="D6D6D6"/>
          <w:sz w:val="21"/>
          <w:szCs w:val="21"/>
        </w:rPr>
        <w:t xml:space="preserve">“A Universe of Opportunity” reframes the returns black hole as a circular-commerce opportunity. Amazon Nemo turns each return into instant second-life value: an AI trust layer makes used goods buyable with confidence, and a nearby-buyer marketplace gives returns a fast, local second home instead of a long trip back to a warehouse.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What Makes This Novel</w:t>
      </w:r>
    </w:p>
    <w:p>
      <w:pPr>
        <w:spacing w:after="120" w:before="0" w:line="276"/>
      </w:pPr>
      <w:r>
        <w:rPr>
          <w:rFonts w:ascii="Calibri" w:cs="Calibri" w:eastAsia="Calibri" w:hAnsi="Calibri"/>
          <w:color w:val="D6D6D6"/>
          <w:sz w:val="21"/>
          <w:szCs w:val="21"/>
        </w:rPr>
        <w:t xml:space="preserve">The core insight is to collapse the reverse-logistics loop. Instead of waiting for an item to reach the warehouse to be inspected and relisted, Amazon Nemo can sell it to a nearby buyer while it is still in transit — at a discount that grows automatically the longer it sits unsold. Combined with AI condition grading, a verifiable Product Health Card, fraud/identity verification, and a configurable decision engine, this “Return-in-Transit” early-sale model is the disruptive, novel angle competitors don't offer.</w:t>
      </w:r>
    </w:p>
    <w:p>
      <w:pPr>
        <w:pageBreakBefore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FF9900"/>
          <w:sz w:val="30"/>
          <w:szCs w:val="30"/>
        </w:rPr>
        <w:t xml:space="preserve">2. 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Customer &amp; Solution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9AA0A6"/>
          <w:sz w:val="18"/>
          <w:szCs w:val="18"/>
        </w:rPr>
        <w:t xml:space="preserve">→ Jury focus: Quality of Presentation (clarity) + Quality of Implementation (working prototype)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Target Customer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D6D6D6"/>
          <w:sz w:val="21"/>
          <w:szCs w:val="21"/>
        </w:rPr>
        <w:t xml:space="preserve">Three sides of one marketplace: (1) Value buyers who want trustworthy, cheaper second-life products with proof of condition; (2) Sellers / returners who want their returned or unused items to recover value quickly; and (3) Marketplace operations teams who need to slash reverse-logistics cost, warehouse load, and product idle time. Primary persona: a price-conscious, sustainability-minded shopper who avoids used goods today because they can't trust the condition.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How We Solve It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AI Condition Grading (real model): </w:t>
      </w:r>
      <w:r>
        <w:rPr>
          <w:rFonts w:ascii="Calibri" w:cs="Calibri" w:eastAsia="Calibri" w:hAnsi="Calibri"/>
          <w:color w:val="D6D6D6"/>
          <w:sz w:val="21"/>
          <w:szCs w:val="21"/>
        </w:rPr>
        <w:t xml:space="preserve">a MobileNetV3 model fine-tuned on the Kaputt product-damage dataset (ONNX, run in-process) grades each photo and detects specific defect types — plus a pre-grade verification pass that screens for fraud / wrong-item against the catalog reference.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Product Health Card: </w:t>
      </w:r>
      <w:r>
        <w:rPr>
          <w:rFonts w:ascii="Calibri" w:cs="Calibri" w:eastAsia="Calibri" w:hAnsi="Calibri"/>
          <w:color w:val="D6D6D6"/>
          <w:sz w:val="21"/>
          <w:szCs w:val="21"/>
        </w:rPr>
        <w:t xml:space="preserve">a buyer-facing trust layer showing the AI-verified condition, exact confidence, detected defects, and provenance — only real, persisted values (never fabricated).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Two ecosystems: </w:t>
      </w:r>
      <w:r>
        <w:rPr>
          <w:rFonts w:ascii="Calibri" w:cs="Calibri" w:eastAsia="Calibri" w:hAnsi="Calibri"/>
          <w:color w:val="D6D6D6"/>
          <w:sz w:val="21"/>
          <w:szCs w:val="21"/>
        </w:rPr>
        <w:t xml:space="preserve">Brand New (standard inventory with live stock) and Resold (one-of-a-kind, AI-graded second-life) coexist cleanly across home, search, cart and checkout.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Return-in-Transit Deals: </w:t>
      </w:r>
      <w:r>
        <w:rPr>
          <w:rFonts w:ascii="Calibri" w:cs="Calibri" w:eastAsia="Calibri" w:hAnsi="Calibri"/>
          <w:color w:val="D6D6D6"/>
          <w:sz w:val="21"/>
          <w:szCs w:val="21"/>
        </w:rPr>
        <w:t xml:space="preserve">returned items go on sale to nearby buyers immediately, at a dynamic, config-driven discount that grows daily — before they ever reach the warehouse.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Give a Second Life — Donate &amp; Peer-to-Peer: </w:t>
      </w:r>
      <w:r>
        <w:rPr>
          <w:rFonts w:ascii="Calibri" w:cs="Calibri" w:eastAsia="Calibri" w:hAnsi="Calibri"/>
          <w:color w:val="D6D6D6"/>
          <w:sz w:val="21"/>
          <w:szCs w:val="21"/>
        </w:rPr>
        <w:t xml:space="preserve">owners can donate an item to a charity partner (with a donation certificate + green credits) or pass it directly to a verified nearby neighbour via geo-matching.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Decision engine: </w:t>
      </w:r>
      <w:r>
        <w:rPr>
          <w:rFonts w:ascii="Calibri" w:cs="Calibri" w:eastAsia="Calibri" w:hAnsi="Calibri"/>
          <w:color w:val="D6D6D6"/>
          <w:sz w:val="21"/>
          <w:szCs w:val="21"/>
        </w:rPr>
        <w:t xml:space="preserve">a feasibility analysis routes each return to the cheapest good outcome — local resale, return-to-seller, refurbishment, donation, or recycling.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TrustPass seller reputation: </w:t>
      </w:r>
      <w:r>
        <w:rPr>
          <w:rFonts w:ascii="Calibri" w:cs="Calibri" w:eastAsia="Calibri" w:hAnsi="Calibri"/>
          <w:color w:val="D6D6D6"/>
          <w:sz w:val="21"/>
          <w:szCs w:val="21"/>
        </w:rPr>
        <w:t xml:space="preserve">a Platinum/Gold/Silver score built from verified contributions and AI-grading accuracy.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Operations Console + Delivery Partner app: </w:t>
      </w:r>
      <w:r>
        <w:rPr>
          <w:rFonts w:ascii="Calibri" w:cs="Calibri" w:eastAsia="Calibri" w:hAnsi="Calibri"/>
          <w:color w:val="D6D6D6"/>
          <w:sz w:val="21"/>
          <w:szCs w:val="21"/>
        </w:rPr>
        <w:t xml:space="preserve">ops review queues with accept/reject on AI-verdict and manual-review escalations + live business-rule config; a delivery board with daily pickups, original-vs-return photo verification, OpenStreetMap routing to the nearest Amazon FC, and a notifications feed.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User Workflow</w:t>
      </w:r>
    </w:p>
    <w:p>
      <w:pPr>
        <w:spacing w:after="120" w:before="0" w:line="276"/>
      </w:pPr>
      <w:r>
        <w:rPr>
          <w:rFonts w:ascii="Calibri" w:cs="Calibri" w:eastAsia="Calibri" w:hAnsi="Calibri"/>
          <w:color w:val="D6D6D6"/>
          <w:sz w:val="21"/>
          <w:szCs w:val="21"/>
        </w:rPr>
        <w:t xml:space="preserve">Customer initiates a return → AI verifies authenticity and grades condition → the feasibility engine decides the best path → the item is listed for second-life (or sold in-transit to a nearby buyer) → a delivery partner collects and verifies it against the original product (accept/reject) → the buyer receives it, the seller is refunded, and green credits are awarded.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9AA0A6"/>
          <w:sz w:val="18"/>
          <w:szCs w:val="18"/>
        </w:rPr>
        <w:t xml:space="preserve">[[ Insert the user-workflow diagram here ]]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9AA0A6"/>
          <w:sz w:val="18"/>
          <w:szCs w:val="18"/>
        </w:rPr>
        <w:t xml:space="preserve">→ A clear visual here directly improves the Presentation score.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Working Prototype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D6D6D6"/>
          <w:sz w:val="21"/>
          <w:szCs w:val="21"/>
        </w:rPr>
        <w:t xml:space="preserve">A complete, multi-role, full-stack web app (not a mockup): buyers shop two ecosystems and check out; sellers list items that are graded by a real fine-tuned damage model; an Operations Console runs reviews, disputes and live business rules; a Delivery Partner board handles daily pickups with map routing and accept/reject. Backed by a real Postgres database and an in-process ONNX grading model.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9AA0A6"/>
          <w:sz w:val="18"/>
          <w:szCs w:val="18"/>
        </w:rPr>
        <w:t xml:space="preserve">[[ Insert 2–3 product screenshots + Demo/Deployed URL ]]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9AA0A6"/>
          <w:sz w:val="18"/>
          <w:szCs w:val="18"/>
        </w:rPr>
        <w:t xml:space="preserve">→ End-to-end working prototype with evidence = highest Implementation score.</w:t>
      </w:r>
    </w:p>
    <w:p>
      <w:pPr>
        <w:pageBreakBefore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FF9900"/>
          <w:sz w:val="30"/>
          <w:szCs w:val="30"/>
        </w:rPr>
        <w:t xml:space="preserve">3. 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Tech Architecture &amp; Scaling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9AA0A6"/>
          <w:sz w:val="18"/>
          <w:szCs w:val="18"/>
        </w:rPr>
        <w:t xml:space="preserve">→ Jury focus: Tech Architecture (complexity, algorithms, APIs, code quality) + Scalability (depth, interconnectedness)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Architecture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D6D6D6"/>
          <w:sz w:val="21"/>
          <w:szCs w:val="21"/>
        </w:rPr>
        <w:t xml:space="preserve">A cleanly layered architecture: UI → a single typed API client → Next.js API routes (validated with Zod) → services (business logic) → repositories (data access) → Postgres + Redis. AI providers are swappable behind interfaces (in-process CLIP, AWS Bedrock vision, or a local heuristic), and every business rule lives in a database config table — so behavior changes live, with nothing hardcoded.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9AA0A6"/>
          <w:sz w:val="18"/>
          <w:szCs w:val="18"/>
        </w:rPr>
        <w:t xml:space="preserve">[[ Insert system architecture diagram here ]]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Tech Stack</w:t>
      </w:r>
    </w:p>
    <w:tbl>
      <w:tblPr>
        <w:tblW w:type="pct" w:w="100%"/>
        <w:tblBorders>
          <w:top w:val="single" w:color="3C3C3C" w:sz="2"/>
          <w:left w:val="single" w:color="3C3C3C" w:sz="2"/>
          <w:bottom w:val="single" w:color="3C3C3C" w:sz="2"/>
          <w:right w:val="single" w:color="3C3C3C" w:sz="2"/>
          <w:insideH w:val="single" w:color="3C3C3C" w:sz="2"/>
          <w:insideV w:val="single" w:color="3C3C3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2C3A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52%"/>
            <w:shd w:fill="2C3A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34%"/>
            <w:shd w:fill="2C3A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pct" w:w="14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Frontend</w:t>
            </w:r>
          </w:p>
        </w:tc>
        <w:tc>
          <w:tcPr>
            <w:tcW w:type="pct" w:w="52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Next.js 14 (App Router), React 18, Tailwind, Leaflet/OpenStreetMap, Framer Motion</w:t>
            </w:r>
          </w:p>
        </w:tc>
        <w:tc>
          <w:tcPr>
            <w:tcW w:type="pct" w:w="34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Fast storefront + live map routing for the delivery board.</w:t>
            </w:r>
          </w:p>
        </w:tc>
      </w:tr>
      <w:tr>
        <w:tc>
          <w:tcPr>
            <w:tcW w:type="pct" w:w="14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Backend</w:t>
            </w:r>
          </w:p>
        </w:tc>
        <w:tc>
          <w:tcPr>
            <w:tcW w:type="pct" w:w="52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Next.js API routes (Node), Zod validation, layered services / repositories</w:t>
            </w:r>
          </w:p>
        </w:tc>
        <w:tc>
          <w:tcPr>
            <w:tcW w:type="pct" w:w="34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Type-safe, testable, single source of truth per concern.</w:t>
            </w:r>
          </w:p>
        </w:tc>
      </w:tr>
      <w:tr>
        <w:tc>
          <w:tcPr>
            <w:tcW w:type="pct" w:w="14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AI / ML</w:t>
            </w:r>
          </w:p>
        </w:tc>
        <w:tc>
          <w:tcPr>
            <w:tcW w:type="pct" w:w="52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MobileNetV3 (Kaputt dataset) via ONNX + onnxruntime-node + sharp; Transformers.js CLIP (verification) + sentiment/embeddings; AWS Bedrock (optional)</w:t>
            </w:r>
          </w:p>
        </w:tc>
        <w:tc>
          <w:tcPr>
            <w:tcW w:type="pct" w:w="34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Real in-process damage grading + defect detection; swappable on-device/cloud graders.</w:t>
            </w:r>
          </w:p>
        </w:tc>
      </w:tr>
      <w:tr>
        <w:tc>
          <w:tcPr>
            <w:tcW w:type="pct" w:w="14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Data</w:t>
            </w:r>
          </w:p>
        </w:tc>
        <w:tc>
          <w:tcPr>
            <w:tcW w:type="pct" w:w="52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PostgreSQL (Neon) + Prisma; Upstash Redis (nearby-buyer geo index)</w:t>
            </w:r>
          </w:p>
        </w:tc>
        <w:tc>
          <w:tcPr>
            <w:tcW w:type="pct" w:w="34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Durable data + a hot index for low-latency matching.</w:t>
            </w:r>
          </w:p>
        </w:tc>
      </w:tr>
      <w:tr>
        <w:tc>
          <w:tcPr>
            <w:tcW w:type="pct" w:w="14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Infra</w:t>
            </w:r>
          </w:p>
        </w:tc>
        <w:tc>
          <w:tcPr>
            <w:tcW w:type="pct" w:w="52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Serverless (Vercel-style), Neon serverless Postgres, Upstash Redis, image CDN</w:t>
            </w:r>
          </w:p>
        </w:tc>
        <w:tc>
          <w:tcPr>
            <w:tcW w:type="pct" w:w="34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Stateless, elastic, scales horizontally with zero ops.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Key Algorithms &amp; Complexity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MobileNetV3 damage grader (Kaputt): </w:t>
      </w:r>
      <w:r>
        <w:rPr>
          <w:rFonts w:ascii="Calibri" w:cs="Calibri" w:eastAsia="Calibri" w:hAnsi="Calibri"/>
          <w:color w:val="D6D6D6"/>
          <w:sz w:val="21"/>
          <w:szCs w:val="21"/>
        </w:rPr>
        <w:t xml:space="preserve">a fine-tuned CNN with two heads — condition grade (Like New / Minor / Major) and multilabel defect detection — exported to ONNX and run in-process (~50ms/image) with sharp preprocessing (224×224, ImageNet-normalised).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Ensemble Return-Risk Score: </w:t>
      </w:r>
      <w:r>
        <w:rPr>
          <w:rFonts w:ascii="Calibri" w:cs="Calibri" w:eastAsia="Calibri" w:hAnsi="Calibri"/>
          <w:color w:val="D6D6D6"/>
          <w:sz w:val="21"/>
          <w:szCs w:val="21"/>
        </w:rPr>
        <w:t xml:space="preserve">weighted combination of independent real signals (return history, review sentiment, seller reliability, defect/verification, shopper propensity), each scaled by its own evidence-confidence and shrunk toward a neutral prior so thin data never produces extreme scores.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CLIP verification: </w:t>
      </w:r>
      <w:r>
        <w:rPr>
          <w:rFonts w:ascii="Calibri" w:cs="Calibri" w:eastAsia="Calibri" w:hAnsi="Calibri"/>
          <w:color w:val="D6D6D6"/>
          <w:sz w:val="21"/>
          <w:szCs w:val="21"/>
        </w:rPr>
        <w:t xml:space="preserve">the uploaded item is embedded and compared to the catalog reference to verify identity and screen for fraud before grading.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Feasibility analysis engine: </w:t>
      </w:r>
      <w:r>
        <w:rPr>
          <w:rFonts w:ascii="Calibri" w:cs="Calibri" w:eastAsia="Calibri" w:hAnsi="Calibri"/>
          <w:color w:val="D6D6D6"/>
          <w:sz w:val="21"/>
          <w:szCs w:val="21"/>
        </w:rPr>
        <w:t xml:space="preserve">computes reverse-logistics cost vs. expected recovery with warehouse-proximity routing to choose resell-locally vs. ship-back.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Geo matching &amp; routing: </w:t>
      </w:r>
      <w:r>
        <w:rPr>
          <w:rFonts w:ascii="Calibri" w:cs="Calibri" w:eastAsia="Calibri" w:hAnsi="Calibri"/>
          <w:color w:val="D6D6D6"/>
          <w:sz w:val="21"/>
          <w:szCs w:val="21"/>
        </w:rPr>
        <w:t xml:space="preserve">haversine + radius filter over a Redis category→buyer index for nearby-buyer / peer-to-peer matching, plus nearest-FC routing and reverse-geocoding (Nominatim) for the delivery board.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Dynamic in-transit discount + rules engine: </w:t>
      </w:r>
      <w:r>
        <w:rPr>
          <w:rFonts w:ascii="Calibri" w:cs="Calibri" w:eastAsia="Calibri" w:hAnsi="Calibri"/>
          <w:color w:val="D6D6D6"/>
          <w:sz w:val="21"/>
          <w:szCs w:val="21"/>
        </w:rPr>
        <w:t xml:space="preserve">config-driven day-tiered discounts and a pluggable routing-rules engine (cost-vs-value, repairability, local-demand, donation, recycle).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9AA0A6"/>
          <w:sz w:val="18"/>
          <w:szCs w:val="18"/>
        </w:rPr>
        <w:t xml:space="preserve">→ Thought leadership: novel combinations and creative use of algorithms/AI — not standard CRUD.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Scaling Strategy</w:t>
      </w:r>
    </w:p>
    <w:p>
      <w:pPr>
        <w:spacing w:after="120" w:before="0" w:line="276"/>
      </w:pPr>
      <w:r>
        <w:rPr>
          <w:rFonts w:ascii="Calibri" w:cs="Calibri" w:eastAsia="Calibri" w:hAnsi="Calibri"/>
          <w:color w:val="D6D6D6"/>
          <w:sz w:val="21"/>
          <w:szCs w:val="21"/>
        </w:rPr>
        <w:t xml:space="preserve">Stateless serverless API routes scale horizontally; Neon serverless Postgres handles elastic read/write; Redis serves the hot nearby-buyer index for low-latency matching; all thresholds, price bands, discount tiers and CO₂ factors live in a single config table so behaviour scales without redeploys. The AI layer is swappable — in-process CLIP for cost, cloud Bedrock vision for throughput — and product images are CDN-served. The same design supports 100×–1000× growth across regions.</w:t>
      </w:r>
    </w:p>
    <w:p>
      <w:pPr>
        <w:pageBreakBefore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FF9900"/>
          <w:sz w:val="30"/>
          <w:szCs w:val="30"/>
        </w:rPr>
        <w:t xml:space="preserve">4. 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Future Vision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9AA0A6"/>
          <w:sz w:val="18"/>
          <w:szCs w:val="18"/>
        </w:rPr>
        <w:t xml:space="preserve">→ Jury focus: Futuristic Vision (long-term thinking, multi-segment expansion, value impact)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Where This Goes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D6D6D6"/>
          <w:sz w:val="21"/>
          <w:szCs w:val="21"/>
        </w:rPr>
        <w:t xml:space="preserve">Amazon Nemo becomes the default returns rail for any marketplace — every return is automatically appraised, trust-verified, and given the fastest, greenest second life. The platform extends into B2B liquidation, certified-refurbishment partners, and a charity-donation network, turning reverse logistics from a cost centre into a revenue and sustainability engine.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Roadmap</w:t>
      </w:r>
    </w:p>
    <w:tbl>
      <w:tblPr>
        <w:tblW w:type="pct" w:w="100%"/>
        <w:tblBorders>
          <w:top w:val="single" w:color="3C3C3C" w:sz="2"/>
          <w:left w:val="single" w:color="3C3C3C" w:sz="2"/>
          <w:bottom w:val="single" w:color="3C3C3C" w:sz="2"/>
          <w:right w:val="single" w:color="3C3C3C" w:sz="2"/>
          <w:insideH w:val="single" w:color="3C3C3C" w:sz="2"/>
          <w:insideV w:val="single" w:color="3C3C3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2C3A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  <w:tc>
          <w:tcPr>
            <w:tcW w:type="pct" w:w="50%"/>
            <w:shd w:fill="2C3A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pct" w:w="34%"/>
            <w:shd w:fill="2C3A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16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0–3 mo</w:t>
            </w:r>
          </w:p>
        </w:tc>
        <w:tc>
          <w:tcPr>
            <w:tcW w:type="pct" w:w="50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Pilot in 1–2 categories + cities; in-transit resale live</w:t>
            </w:r>
          </w:p>
        </w:tc>
        <w:tc>
          <w:tcPr>
            <w:tcW w:type="pct" w:w="34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Faster recovery, first CO₂ + cost savings</w:t>
            </w:r>
          </w:p>
        </w:tc>
      </w:tr>
      <w:tr>
        <w:tc>
          <w:tcPr>
            <w:tcW w:type="pct" w:w="16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3–6 mo</w:t>
            </w:r>
          </w:p>
        </w:tc>
        <w:tc>
          <w:tcPr>
            <w:tcW w:type="pct" w:w="50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Multi-category, partner fulfilment centres, refurb partners</w:t>
            </w:r>
          </w:p>
        </w:tc>
        <w:tc>
          <w:tcPr>
            <w:tcW w:type="pct" w:w="34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Higher recovery value, lower reverse-logistics cost</w:t>
            </w:r>
          </w:p>
        </w:tc>
      </w:tr>
      <w:tr>
        <w:tc>
          <w:tcPr>
            <w:tcW w:type="pct" w:w="16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6–12 mo</w:t>
            </w:r>
          </w:p>
        </w:tc>
        <w:tc>
          <w:tcPr>
            <w:tcW w:type="pct" w:w="50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Multi-marketplace + B2B liquidation + donation network</w:t>
            </w:r>
          </w:p>
        </w:tc>
        <w:tc>
          <w:tcPr>
            <w:tcW w:type="pct" w:w="34%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6D6D6"/>
                <w:sz w:val="20"/>
                <w:szCs w:val="20"/>
              </w:rPr>
              <w:t xml:space="preserve">Platform-scale circular commerce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Multi-Segment Expansion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D6D6D6"/>
          <w:sz w:val="21"/>
          <w:szCs w:val="21"/>
        </w:rPr>
        <w:t xml:space="preserve">Start with electronics and fashion (high return rates, high recoverable value), then expand to furniture, sporting goods, and books; route low-value-but-usable goods to a donation/education pipeline and damaged goods to certified recycling. The same trust + matching engine generalises across segments, and the logistics layer plugs into existing delivery fleets.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9AA0A6"/>
          <w:sz w:val="18"/>
          <w:szCs w:val="18"/>
        </w:rPr>
        <w:t xml:space="preserve">→ A clear multi-segment strategy (e.g., electronics → fashion → donation/education → logistics) scores highest.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Value Impact</w:t>
      </w:r>
    </w:p>
    <w:p>
      <w:pPr>
        <w:spacing w:after="120" w:before="0" w:line="276"/>
      </w:pPr>
      <w:r>
        <w:rPr>
          <w:rFonts w:ascii="Calibri" w:cs="Calibri" w:eastAsia="Calibri" w:hAnsi="Calibri"/>
          <w:color w:val="D6D6D6"/>
          <w:sz w:val="21"/>
          <w:szCs w:val="21"/>
        </w:rPr>
        <w:t xml:space="preserve">At scale the model diverts a large share of returns from landfill and ship-backs: each locally-resold or in-transit sale avoids a round-trip of reverse logistics, recovers a meaningful fraction of original value, and prevents the associated CO₂. Quantified per category via the configurable cost and CO₂ factors already built into the platform — translating directly into cost savings, recovered revenue, and items kept in circulation.</w:t>
      </w:r>
    </w:p>
    <w:p>
      <w:pPr>
        <w:spacing w:after="16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Links:  </w:t>
      </w:r>
      <w:r>
        <w:rPr>
          <w:rFonts w:ascii="Calibri" w:cs="Calibri" w:eastAsia="Calibri" w:hAnsi="Calibri"/>
          <w:i/>
          <w:iCs/>
          <w:color w:val="9AA0A6"/>
          <w:sz w:val="20"/>
          <w:szCs w:val="20"/>
        </w:rPr>
        <w:t xml:space="preserve">GitHub [URL]   |   Demo Video [URL]   |   Live App [URL]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D6D6D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2026-06-14T21:44:55.435Z</dcterms:created>
  <dcterms:modified xsi:type="dcterms:W3CDTF">2026-06-14T21:44:55.435Z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