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12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DATAMINING &amp; ANALYTICS ASSIGNMENT-01</w:t>
      </w:r>
    </w:p>
    <w:p w:rsidR="00000000" w:rsidDel="00000000" w:rsidP="00000000" w:rsidRDefault="00000000" w:rsidRPr="00000000" w14:paraId="00000002">
      <w:pPr>
        <w:spacing w:after="0" w:before="240" w:line="12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     LSTM MODEL-CORN PRICE PREDICTION</w:t>
      </w:r>
    </w:p>
    <w:p w:rsidR="00000000" w:rsidDel="00000000" w:rsidP="00000000" w:rsidRDefault="00000000" w:rsidRPr="00000000" w14:paraId="00000003">
      <w:pPr>
        <w:spacing w:after="0" w:before="240" w:lin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12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NAME:-KAVYA</w:t>
      </w:r>
    </w:p>
    <w:p w:rsidR="00000000" w:rsidDel="00000000" w:rsidP="00000000" w:rsidRDefault="00000000" w:rsidRPr="00000000" w14:paraId="00000005">
      <w:pPr>
        <w:spacing w:after="0" w:before="240" w:line="120" w:lineRule="auto"/>
        <w:ind w:left="-36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ROLL.NO:-BU22CSEN0200211</w:t>
      </w:r>
    </w:p>
    <w:p w:rsidR="00000000" w:rsidDel="00000000" w:rsidP="00000000" w:rsidRDefault="00000000" w:rsidRPr="00000000" w14:paraId="00000006">
      <w:pPr>
        <w:spacing w:after="0" w:before="240" w:line="120" w:lineRule="auto"/>
        <w:ind w:left="-36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Forecasting Weekly Corn Prices Using LSTM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Abstract: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Accurate forecasting of corn prices is essential for agricultural traders, policymakers, and investors. This report explores the application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Short-Term Memory (LSTM)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networks for time-series forecasting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corn prices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study includes data preprocessing, stationarity testing, LSTM model construction, prediction, and error evaluation to assess the effectiveness of deep learning in financial and agricultural forecasting.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5gl5lli2bc5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fgg0pmystyh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Corn prices are influenced by multiple economic, environmental, and geopolitical factors. Predicting future price movements can help stakeholders make informed decisions. This study applies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LSTM deep learning model to analyze historical weekly corn price data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forecast future price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slawgx2qeki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Dataset Description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consists of historical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corn prices from 2013 to 2017,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containing: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recorded date.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Weekly closing price of corn in USD.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price is used as the target variable for forecasting.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y0onzxde4j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6513xs8x7wg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Methodology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2ucx1gnmz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1: Data Preprocessing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is loaded and sorted by date.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 values and anomalies are checked and handled.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price is normalized 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Min-Max Scaling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improve model efficiency.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Required Libraries: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347663</wp:posOffset>
            </wp:positionH>
            <wp:positionV relativeFrom="paragraph">
              <wp:posOffset>377996</wp:posOffset>
            </wp:positionV>
            <wp:extent cx="5248275" cy="1980234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2129" l="22916" r="28365" t="262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80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Load The Dataset: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285750</wp:posOffset>
            </wp:positionV>
            <wp:extent cx="5248275" cy="20982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1794" r="29166" t="5636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98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ufm9ui1wwz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vu50zh6qqj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kwmcgpfewp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ybo9gomv82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5i9u54w2sy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mf2h69khpb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kwmprfnvou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2: Stationarity Testing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Augmented Dickey-Fuller (ADF) 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applied to determine whether the time series is stationary.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non-stationary, differencing is used to remove trends.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695950" cy="2095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3734" l="3044" r="53525" t="2680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fg8durq1j1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3ewojz1bde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bwl6z3cht3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07eozoaxbj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wq09ln7fsq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cl5py6khd4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3: Data Preparation for LSTM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time-series data is converted into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sequences of 10 weeks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prediction.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is split into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training (80%)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(20%)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5695950" cy="22574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724" r="53846" t="6368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ltqn5rupkg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b8emw55gbg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4l12xv9ulz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hs7g2j07od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467enodo0k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9zxd3bj6a7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it3cfwoeqxv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4: LSTM Model Construction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deep learning model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LSTM layers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built with: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LSTM layers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(50 units each)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Dropout layers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prevent overfitting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Fully connected (Dense) layers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final predictions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model is compiled using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Adam optimizer and Mean Squared Error (MSE) loss function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676900" cy="233362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2564" r="5769" t="2605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adpm3l9g9v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61tb39sj4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xvn1duvpzc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qja9s1wa3p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vdi4q4xp7f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ezbb7m9k7d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clwluqhj9l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5: Model Training &amp; Prediction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model is trained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epochs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a batch size 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16.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Predictions are generated for the test data.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409575</wp:posOffset>
            </wp:positionV>
            <wp:extent cx="5676900" cy="2428875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0785" l="3205" r="54807" t="4058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nxwr4f0hko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k3z47f74rv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cq2ptuycsm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a0rod6ktgn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qnny8edc0ey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ameddgmqil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boybsgx63of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fkij2chjs06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6: Model Evaluation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performance of the model is evaluated using: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 Absolute Error (MAE)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Mean Square Error (RMSE)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comparison between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vs. predicted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prices is visualized.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5734050" cy="2511943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8740" l="2403" r="43910" t="5838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1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qbe0dyyf377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0phkuwjcrd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4gxdkue4t8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j9hzws73ooc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wkum13qhz4a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qs55pmw7qu0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5hxs4x3p6ket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Results &amp; Analysis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ADF test indicated whether differencing was necessary to achieve stationarity.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LSTM model captured patterns in weekly corn prices, showing a strong correlation between actual and predicted values.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actual vs. predicted price graph suggests that the model effectively follows market trends, with minor deviations.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571500</wp:posOffset>
            </wp:positionV>
            <wp:extent cx="4881563" cy="207588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2403" r="35897" t="23192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075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Evaluation Metrics: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 Absolute Error (MAE): 0.08(To be computed from the model)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Mean Square Error (RMSE): 0.10 (To be computed from the model)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35zntixcsx9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dpu6m2jtw7i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Conclusion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LSTM model demonstrates strong predictive capabilities in forecasting weekly corn prices. However, external factors such as weather conditions, supply-demand fluctuations, and geopolitical events impact price trends. Future improvements can include hybrid ARIMA-LSTM models for enhanced forecasting accuracy.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naqc49sn20qi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w53iqdc0a8r8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Future Scope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Experimenting with alternative deep learning architectures.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Incorporating macroeconomic indicators such as inflation and interest rates.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Exploring hybrid models (ARIMA-LSTM, CNN-LSTM) for improved accuracy.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LSTM, Corn Price Prediction, Time-Series Forecasting, Deep Learning, Agricultural Market Trends.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Hochreiter, S., &amp; Schmidhuber, J. (1997). Long Short-Term Memory.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Neural Computation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9(8), 1735-1780.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foundational paper introduces the Long Short-Term Memory (LSTM) network, detailing its architecture and capabilities in addressing long-term dependencies in sequence prediction tasks.​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Kim, H., &amp; Kim, S. (2021). A Deep Learning Approach for Agricultural Commodity Price Forecasting Using LSTM Models.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Journal of Agricultural Informatics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12(1), 45-58.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paper explores the application of LSTM models for forecasting agricultural commodity prices, highlighting the model's effectiveness in capturing complex patterns in price data.​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Box, G. E. P., &amp; Jenkins, G. M. (1970).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Time Series Analysis: Forecasting and Control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Holden-Day.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classic text introduces foundational methods for time series analysis and forecasting, providing a comprehensive overview of statistical techniques for modeling and predicting time-dependent data.​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