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Platform Backend and Processing Details</w:t>
      </w:r>
    </w:p>
    <w:p>
      <w:r>
        <w:rPr>
          <w:b/>
          <w:color w:val="1F4E79"/>
          <w:sz w:val="26"/>
        </w:rPr>
        <w:t>Ingestion, AI Enrichment, Multi Model Search, Download and Audit</w:t>
      </w:r>
    </w:p>
    <w:p>
      <w:r>
        <w:t>Prepared from the smsprsm-2026 implementation, validation reports and the supplied demonstration document. This document separates verified implementation facts from measured development-test results and known limitations.</w:t>
      </w:r>
    </w:p>
    <w:p>
      <w:pPr>
        <w:pStyle w:val="Heading1"/>
      </w:pPr>
      <w:r>
        <w:t>Executive summary</w:t>
      </w:r>
    </w:p>
    <w:p>
      <w:r>
        <w:t>The platform is implemented as separate module boundaries backed by PostgreSQL, Redis, Kafka/Celery delivery, Qdrant vector search and source-specific storage adapters. Each module persists state, publishes durable events, enforces access rules and records operational evidence. The latest bounded acceptance run processed 41 content objects from the S3 dataset, created 37 canonical documents and recorded four checksum duplicates with no ingestion failures. All 37 published documents became searchable; AI produced 16 completed results and 21 safety-cleared partial results.</w:t>
      </w:r>
    </w:p>
    <w:p>
      <w:r>
        <w:t>These are development-integration results, not a production SLA or representative model-accuracy certification. Where the retained evidence contains aggregate duplicate counts but not the individual duplicate pair list, that gap is called out explicitly.</w:t>
      </w:r>
    </w:p>
    <w:p>
      <w:pPr>
        <w:pStyle w:val="Heading1"/>
      </w:pPr>
      <w:r>
        <w:t>System architecture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40"/>
            </w:pPr>
            <w:r/>
            <w:r>
              <w:rPr>
                <w:b/>
                <w:color w:val="FFFFFF"/>
                <w:sz w:val="17"/>
              </w:rPr>
              <w:t>Module</w:t>
            </w:r>
          </w:p>
        </w:tc>
        <w:tc>
          <w:tcPr>
            <w:tcW w:type="dxa" w:w="2520"/>
            <w:vAlign w:val="center"/>
            <w:shd w:fill="1F4E79"/>
          </w:tcPr>
          <w:p>
            <w:pPr>
              <w:spacing w:after="40"/>
            </w:pPr>
            <w:r/>
            <w:r>
              <w:rPr>
                <w:b/>
                <w:color w:val="FFFFFF"/>
                <w:sz w:val="17"/>
              </w:rPr>
              <w:t>Primary backend</w:t>
            </w:r>
          </w:p>
        </w:tc>
        <w:tc>
          <w:tcPr>
            <w:tcW w:type="dxa" w:w="2520"/>
            <w:vAlign w:val="center"/>
            <w:shd w:fill="1F4E79"/>
          </w:tcPr>
          <w:p>
            <w:pPr>
              <w:spacing w:after="40"/>
            </w:pPr>
            <w:r/>
            <w:r>
              <w:rPr>
                <w:b/>
                <w:color w:val="FFFFFF"/>
                <w:sz w:val="17"/>
              </w:rPr>
              <w:t>State and delivery</w:t>
            </w:r>
          </w:p>
        </w:tc>
        <w:tc>
          <w:tcPr>
            <w:tcW w:type="dxa" w:w="2520"/>
            <w:vAlign w:val="center"/>
            <w:shd w:fill="1F4E79"/>
          </w:tcPr>
          <w:p>
            <w:pPr>
              <w:spacing w:after="40"/>
            </w:pPr>
            <w:r/>
            <w:r>
              <w:rPr>
                <w:b/>
                <w:color w:val="FFFFFF"/>
                <w:sz w:val="17"/>
              </w:rPr>
              <w:t>Output</w:t>
            </w:r>
          </w:p>
        </w:tc>
      </w:tr>
      <w:tr>
        <w:tc>
          <w:tcPr>
            <w:tcW w:type="dxa" w:w="2520"/>
            <w:vAlign w:val="center"/>
            <w:shd w:fill="FFFFFF"/>
          </w:tcPr>
          <w:p>
            <w:pPr>
              <w:spacing w:after="40"/>
            </w:pPr>
            <w:r/>
            <w:r>
              <w:rPr>
                <w:b w:val="0"/>
                <w:sz w:val="17"/>
              </w:rPr>
              <w:t>Ingestion</w:t>
            </w:r>
          </w:p>
        </w:tc>
        <w:tc>
          <w:tcPr>
            <w:tcW w:type="dxa" w:w="2520"/>
            <w:vAlign w:val="center"/>
            <w:shd w:fill="FFFFFF"/>
          </w:tcPr>
          <w:p>
            <w:pPr>
              <w:spacing w:after="40"/>
            </w:pPr>
            <w:r/>
            <w:r>
              <w:rPr>
                <w:b w:val="0"/>
                <w:sz w:val="17"/>
              </w:rPr>
              <w:t>Gateway/API plus source adapters; PostgreSQL ingestion schema</w:t>
            </w:r>
          </w:p>
        </w:tc>
        <w:tc>
          <w:tcPr>
            <w:tcW w:type="dxa" w:w="2520"/>
            <w:vAlign w:val="center"/>
            <w:shd w:fill="FFFFFF"/>
          </w:tcPr>
          <w:p>
            <w:pPr>
              <w:spacing w:after="40"/>
            </w:pPr>
            <w:r/>
            <w:r>
              <w:rPr>
                <w:b w:val="0"/>
                <w:sz w:val="17"/>
              </w:rPr>
              <w:t>Redis/Celery or dedicated workers; durable outbox; SHA-256 identity</w:t>
            </w:r>
          </w:p>
        </w:tc>
        <w:tc>
          <w:tcPr>
            <w:tcW w:type="dxa" w:w="2520"/>
            <w:vAlign w:val="center"/>
            <w:shd w:fill="FFFFFF"/>
          </w:tcPr>
          <w:p>
            <w:pPr>
              <w:spacing w:after="40"/>
            </w:pPr>
            <w:r/>
            <w:r>
              <w:rPr>
                <w:b w:val="0"/>
                <w:sz w:val="17"/>
              </w:rPr>
              <w:t>Canonical document, provenance, entitlement and processing event</w:t>
            </w:r>
          </w:p>
        </w:tc>
      </w:tr>
      <w:tr>
        <w:tc>
          <w:tcPr>
            <w:tcW w:type="dxa" w:w="2520"/>
            <w:vAlign w:val="center"/>
            <w:shd w:fill="F4F7FA"/>
          </w:tcPr>
          <w:p>
            <w:pPr>
              <w:spacing w:after="40"/>
            </w:pPr>
            <w:r/>
            <w:r>
              <w:rPr>
                <w:b w:val="0"/>
                <w:sz w:val="17"/>
              </w:rPr>
              <w:t>AI Enrichment</w:t>
            </w:r>
          </w:p>
        </w:tc>
        <w:tc>
          <w:tcPr>
            <w:tcW w:type="dxa" w:w="2520"/>
            <w:vAlign w:val="center"/>
            <w:shd w:fill="F4F7FA"/>
          </w:tcPr>
          <w:p>
            <w:pPr>
              <w:spacing w:after="40"/>
            </w:pPr>
            <w:r/>
            <w:r>
              <w:rPr>
                <w:b w:val="0"/>
                <w:sz w:val="17"/>
              </w:rPr>
              <w:t>AI API/worker; local multimodal models; PostgreSQL enrichment schema</w:t>
            </w:r>
          </w:p>
        </w:tc>
        <w:tc>
          <w:tcPr>
            <w:tcW w:type="dxa" w:w="2520"/>
            <w:vAlign w:val="center"/>
            <w:shd w:fill="F4F7FA"/>
          </w:tcPr>
          <w:p>
            <w:pPr>
              <w:spacing w:after="40"/>
            </w:pPr>
            <w:r/>
            <w:r>
              <w:rPr>
                <w:b w:val="0"/>
                <w:sz w:val="17"/>
              </w:rPr>
              <w:t>Kafka consumer plus Celery retry path; Redis; temporary files per attempt</w:t>
            </w:r>
          </w:p>
        </w:tc>
        <w:tc>
          <w:tcPr>
            <w:tcW w:type="dxa" w:w="2520"/>
            <w:vAlign w:val="center"/>
            <w:shd w:fill="F4F7FA"/>
          </w:tcPr>
          <w:p>
            <w:pPr>
              <w:spacing w:after="40"/>
            </w:pPr>
            <w:r/>
            <w:r>
              <w:rPr>
                <w:b w:val="0"/>
                <w:sz w:val="17"/>
              </w:rPr>
              <w:t>Tags, description, OCR/transcript, safety and confidence state; embeddings</w:t>
            </w:r>
          </w:p>
        </w:tc>
      </w:tr>
      <w:tr>
        <w:tc>
          <w:tcPr>
            <w:tcW w:type="dxa" w:w="2520"/>
            <w:vAlign w:val="center"/>
            <w:shd w:fill="FFFFFF"/>
          </w:tcPr>
          <w:p>
            <w:pPr>
              <w:spacing w:after="40"/>
            </w:pPr>
            <w:r/>
            <w:r>
              <w:rPr>
                <w:b w:val="0"/>
                <w:sz w:val="17"/>
              </w:rPr>
              <w:t>Multi Model Search</w:t>
            </w:r>
          </w:p>
        </w:tc>
        <w:tc>
          <w:tcPr>
            <w:tcW w:type="dxa" w:w="2520"/>
            <w:vAlign w:val="center"/>
            <w:shd w:fill="FFFFFF"/>
          </w:tcPr>
          <w:p>
            <w:pPr>
              <w:spacing w:after="40"/>
            </w:pPr>
            <w:r/>
            <w:r>
              <w:rPr>
                <w:b w:val="0"/>
                <w:sz w:val="17"/>
              </w:rPr>
              <w:t>FastAPI service on port 8002; PostgreSQL + Qdrant + Redis</w:t>
            </w:r>
          </w:p>
        </w:tc>
        <w:tc>
          <w:tcPr>
            <w:tcW w:type="dxa" w:w="2520"/>
            <w:vAlign w:val="center"/>
            <w:shd w:fill="FFFFFF"/>
          </w:tcPr>
          <w:p>
            <w:pPr>
              <w:spacing w:after="40"/>
            </w:pPr>
            <w:r/>
            <w:r>
              <w:rPr>
                <w:b w:val="0"/>
                <w:sz w:val="17"/>
              </w:rPr>
              <w:t>Keyword, vector and hybrid services; cached deterministic scores</w:t>
            </w:r>
          </w:p>
        </w:tc>
        <w:tc>
          <w:tcPr>
            <w:tcW w:type="dxa" w:w="2520"/>
            <w:vAlign w:val="center"/>
            <w:shd w:fill="FFFFFF"/>
          </w:tcPr>
          <w:p>
            <w:pPr>
              <w:spacing w:after="40"/>
            </w:pPr>
            <w:r/>
            <w:r>
              <w:rPr>
                <w:b w:val="0"/>
                <w:sz w:val="17"/>
              </w:rPr>
              <w:t>Filtered, ranked results, facets, similarity and download plan</w:t>
            </w:r>
          </w:p>
        </w:tc>
      </w:tr>
      <w:tr>
        <w:tc>
          <w:tcPr>
            <w:tcW w:type="dxa" w:w="2520"/>
            <w:vAlign w:val="center"/>
            <w:shd w:fill="F4F7FA"/>
          </w:tcPr>
          <w:p>
            <w:pPr>
              <w:spacing w:after="40"/>
            </w:pPr>
            <w:r/>
            <w:r>
              <w:rPr>
                <w:b w:val="0"/>
                <w:sz w:val="17"/>
              </w:rPr>
              <w:t>Download</w:t>
            </w:r>
          </w:p>
        </w:tc>
        <w:tc>
          <w:tcPr>
            <w:tcW w:type="dxa" w:w="2520"/>
            <w:vAlign w:val="center"/>
            <w:shd w:fill="F4F7FA"/>
          </w:tcPr>
          <w:p>
            <w:pPr>
              <w:spacing w:after="40"/>
            </w:pPr>
            <w:r/>
            <w:r>
              <w:rPr>
                <w:b w:val="0"/>
                <w:sz w:val="17"/>
              </w:rPr>
              <w:t>Download/auditing service; PostgreSQL download schema; Redis/Celery</w:t>
            </w:r>
          </w:p>
        </w:tc>
        <w:tc>
          <w:tcPr>
            <w:tcW w:type="dxa" w:w="2520"/>
            <w:vAlign w:val="center"/>
            <w:shd w:fill="F4F7FA"/>
          </w:tcPr>
          <w:p>
            <w:pPr>
              <w:spacing w:after="40"/>
            </w:pPr>
            <w:r/>
            <w:r>
              <w:rPr>
                <w:b w:val="0"/>
                <w:sz w:val="17"/>
              </w:rPr>
              <w:t>Persistent jobs, package storage, streaming transfer and watermark pipeline</w:t>
            </w:r>
          </w:p>
        </w:tc>
        <w:tc>
          <w:tcPr>
            <w:tcW w:type="dxa" w:w="2520"/>
            <w:vAlign w:val="center"/>
            <w:shd w:fill="F4F7FA"/>
          </w:tcPr>
          <w:p>
            <w:pPr>
              <w:spacing w:after="40"/>
            </w:pPr>
            <w:r/>
            <w:r>
              <w:rPr>
                <w:b w:val="0"/>
                <w:sz w:val="17"/>
              </w:rPr>
              <w:t>ZIP parts, manifests, checksums, delivery status and forensic records</w:t>
            </w:r>
          </w:p>
        </w:tc>
      </w:tr>
      <w:tr>
        <w:tc>
          <w:tcPr>
            <w:tcW w:type="dxa" w:w="2520"/>
            <w:vAlign w:val="center"/>
            <w:shd w:fill="FFFFFF"/>
          </w:tcPr>
          <w:p>
            <w:pPr>
              <w:spacing w:after="40"/>
            </w:pPr>
            <w:r/>
            <w:r>
              <w:rPr>
                <w:b w:val="0"/>
                <w:sz w:val="17"/>
              </w:rPr>
              <w:t>Audit</w:t>
            </w:r>
          </w:p>
        </w:tc>
        <w:tc>
          <w:tcPr>
            <w:tcW w:type="dxa" w:w="2520"/>
            <w:vAlign w:val="center"/>
            <w:shd w:fill="FFFFFF"/>
          </w:tcPr>
          <w:p>
            <w:pPr>
              <w:spacing w:after="40"/>
            </w:pPr>
            <w:r/>
            <w:r>
              <w:rPr>
                <w:b w:val="0"/>
                <w:sz w:val="17"/>
              </w:rPr>
              <w:t>Shared append-only audit ledger and administrator API</w:t>
            </w:r>
          </w:p>
        </w:tc>
        <w:tc>
          <w:tcPr>
            <w:tcW w:type="dxa" w:w="2520"/>
            <w:vAlign w:val="center"/>
            <w:shd w:fill="FFFFFF"/>
          </w:tcPr>
          <w:p>
            <w:pPr>
              <w:spacing w:after="40"/>
            </w:pPr>
            <w:r/>
            <w:r>
              <w:rPr>
                <w:b w:val="0"/>
                <w:sz w:val="17"/>
              </w:rPr>
              <w:t>Transactional writes/outbox; idempotent event key; PostgreSQL audit schema</w:t>
            </w:r>
          </w:p>
        </w:tc>
        <w:tc>
          <w:tcPr>
            <w:tcW w:type="dxa" w:w="2520"/>
            <w:vAlign w:val="center"/>
            <w:shd w:fill="FFFFFF"/>
          </w:tcPr>
          <w:p>
            <w:pPr>
              <w:spacing w:after="40"/>
            </w:pPr>
            <w:r/>
            <w:r>
              <w:rPr>
                <w:b w:val="0"/>
                <w:sz w:val="17"/>
              </w:rPr>
              <w:t>Searchable activity, analytics, CSV export and correlation trail</w:t>
            </w:r>
          </w:p>
        </w:tc>
      </w:tr>
    </w:tbl>
    <w:p>
      <w:pPr>
        <w:spacing w:after="40"/>
      </w:pPr>
    </w:p>
    <w:p>
      <w:pPr>
        <w:pStyle w:val="Heading1"/>
      </w:pPr>
      <w:r>
        <w:t>Cross-module data and trust boundaries</w:t>
      </w:r>
    </w:p>
    <w:p>
      <w:pPr>
        <w:pStyle w:val="ListBullet"/>
      </w:pPr>
      <w:r>
        <w:t>Canonical document IDs are created by Ingestion and reused by AI, Search, Download and Audit; downstream modules do not invent alternate source identities.</w:t>
      </w:r>
    </w:p>
    <w:p>
      <w:pPr>
        <w:pStyle w:val="ListBullet"/>
      </w:pPr>
      <w:r>
        <w:t>PostgreSQL is the source of truth for metadata, entitlements, publication state, enrichment persistence, download jobs and Audit. Qdrant is a retrieval index, not the authorization authority.</w:t>
      </w:r>
    </w:p>
    <w:p>
      <w:pPr>
        <w:pStyle w:val="ListBullet"/>
      </w:pPr>
      <w:r>
        <w:t>Internal service calls use signed identities and scoped permissions. Source credentials, presigned URLs and secrets are not stored in AI outputs or logs.</w:t>
      </w:r>
    </w:p>
    <w:p>
      <w:pPr>
        <w:pStyle w:val="ListBullet"/>
      </w:pPr>
      <w:r>
        <w:t>Durable outbox delivery makes database state and downstream events recoverable after worker or broker interruption. At-least-once delivery is handled with idempotent consumers and stable keys.</w:t>
      </w:r>
    </w:p>
    <w:p>
      <w:pPr>
        <w:pStyle w:val="Heading1"/>
      </w:pPr>
      <w:r>
        <w:t>1 Ingestion</w:t>
      </w:r>
    </w:p>
    <w:p>
      <w:r>
        <w:rPr>
          <w:b/>
        </w:rPr>
        <w:t xml:space="preserve">Purpose. </w:t>
      </w:r>
      <w:r>
        <w:t>Enumerate an approved S3 or NAS source, validate files, preserve provenance, detect content duplicates and publish canonical documents for downstream processing.</w:t>
      </w:r>
    </w:p>
    <w:p>
      <w:pPr>
        <w:pStyle w:val="Heading2"/>
      </w:pPr>
      <w:r>
        <w:t>Backend used</w:t>
      </w:r>
    </w:p>
    <w:p>
      <w:pPr>
        <w:pStyle w:val="ListBullet"/>
      </w:pPr>
      <w:r>
        <w:t>FastAPI gateway and Ingestion routes under modules/ingestion; PostgreSQL ingestion schema and Alembic migrations.</w:t>
      </w:r>
    </w:p>
    <w:p>
      <w:pPr>
        <w:pStyle w:val="ListBullet"/>
      </w:pPr>
      <w:r>
        <w:t>S3 adapters support static credentials, AssumeRole and unsigned public access. SMB/NFS uses an authenticated streaming boundary.</w:t>
      </w:r>
    </w:p>
    <w:p>
      <w:pPr>
        <w:pStyle w:val="ListBullet"/>
      </w:pPr>
      <w:r>
        <w:t>Redis/Celery or dedicated ingestion workers, durable outbox delivery and ingestion observability.</w:t>
      </w:r>
    </w:p>
    <w:p>
      <w:pPr>
        <w:pStyle w:val="Heading2"/>
      </w:pPr>
      <w:r>
        <w:t>Internal processing logic</w:t>
      </w:r>
    </w:p>
    <w:p>
      <w:pPr>
        <w:pStyle w:val="ListBullet"/>
      </w:pPr>
      <w:r>
        <w:t>Connector configuration defines bucket/endpoint, prefix, bounds, signature mode, metadata policy and credentials. Metadata manifests are skipped by policy.</w:t>
      </w:r>
    </w:p>
    <w:p>
      <w:pPr>
        <w:pStyle w:val="ListBullet"/>
      </w:pPr>
      <w:r>
        <w:t>Each content object is streamed, MIME-checked and hashed with SHA-256. An exact match creates a duplicate source link/outcome instead of another canonical document.</w:t>
      </w:r>
    </w:p>
    <w:p>
      <w:pPr>
        <w:pStyle w:val="ListBullet"/>
      </w:pPr>
      <w:r>
        <w:t>New content receives a canonical document ID, provenance snapshot, size, MIME type, checksum and entitlement. A transaction commits the record and outbox event together.</w:t>
      </w:r>
    </w:p>
    <w:p>
      <w:pPr>
        <w:pStyle w:val="ListBullet"/>
      </w:pPr>
      <w:r>
        <w:t>Unchanged rescans are recognized without reading content bytes; downstream AI and indexing are not re-triggered.</w:t>
      </w:r>
    </w:p>
    <w:p>
      <w:pPr>
        <w:pStyle w:val="Heading2"/>
      </w:pPr>
      <w:r>
        <w:t>Performance and speed</w:t>
      </w:r>
    </w:p>
    <w:p>
      <w:pPr>
        <w:pStyle w:val="ListBullet"/>
      </w:pPr>
      <w:r>
        <w:t>Latest 41-content-object S3 acceptance: 4,921,445,361 bytes processed, 37 successes, 4 duplicates, 0 failures/rejections.</w:t>
      </w:r>
    </w:p>
    <w:p>
      <w:pPr>
        <w:pStyle w:val="ListBullet"/>
      </w:pPr>
      <w:r>
        <w:t>Observed unchanged rescan: 41 objects enumerated, 41 skipped, 0 bytes processed, 70.242 seconds total; enumeration itself 2.138 seconds.</w:t>
      </w:r>
    </w:p>
    <w:p>
      <w:pPr>
        <w:pStyle w:val="ListBullet"/>
      </w:pPr>
      <w:r>
        <w:t>NAS run: 20 processed, 18 new canonical documents, 2 checksum duplicates, 0 skips/rejections/failures, 23,662,037 bytes.</w:t>
      </w:r>
    </w:p>
    <w:p>
      <w:pPr>
        <w:pStyle w:val="Heading2"/>
      </w:pPr>
      <w:r>
        <w:t>Accuracy and observed results</w:t>
      </w:r>
    </w:p>
    <w:p>
      <w:pPr>
        <w:pStyle w:val="ListBullet"/>
      </w:pPr>
      <w:r>
        <w:t>Latest 41-content-object S3 acceptance: 4,921,445,361 bytes processed, 37 successes, 4 duplicates, 0 failures/rejections.</w:t>
      </w:r>
    </w:p>
    <w:p>
      <w:pPr>
        <w:pStyle w:val="ListBullet"/>
      </w:pPr>
      <w:r>
        <w:t>Observed unchanged rescan: 41 objects enumerated, 41 skipped, 0 bytes processed, 70.242 seconds total; enumeration itself 2.138 seconds.</w:t>
      </w:r>
    </w:p>
    <w:p>
      <w:pPr>
        <w:pStyle w:val="ListBullet"/>
      </w:pPr>
      <w:r>
        <w:t>NAS run: 20 processed, 18 new canonical documents, 2 checksum duplicates, 0 skips/rejections/failures, 23,662,037 bytes.</w:t>
      </w:r>
    </w:p>
    <w:p>
      <w:pPr>
        <w:pStyle w:val="Heading2"/>
      </w:pPr>
      <w:r>
        <w:t>Error handling and recovery</w:t>
      </w:r>
    </w:p>
    <w:p>
      <w:pPr>
        <w:pStyle w:val="ListBullet"/>
      </w:pPr>
      <w:r>
        <w:t>Enumeration, read, checksum and database timings are recorded per run; recent-speed telemetry is a rolling completed-byte measure, not an instantaneous network benchmark.</w:t>
      </w:r>
    </w:p>
    <w:p>
      <w:pPr>
        <w:pStyle w:val="ListBullet"/>
      </w:pPr>
      <w:r>
        <w:t>Invalid credentials, unsupported formats, missing objects, expired entitlements and source outages fail visibly. Large files can be accepted even when preview or download limits later reject them.</w:t>
      </w:r>
    </w:p>
    <w:p>
      <w:pPr>
        <w:pStyle w:val="ListBullet"/>
      </w:pPr>
      <w:r>
        <w:t>Outbox delivery is retryable; checksum validation prevents a corrupted read from becoming a successful canonical record. Abandoned leases are recovered transactionally and recorded in Audit.</w:t>
      </w:r>
    </w:p>
    <w:p>
      <w:pPr>
        <w:pStyle w:val="Heading2"/>
      </w:pPr>
      <w:r>
        <w:t>Duplicate detection evidence</w:t>
      </w:r>
    </w:p>
    <w:p>
      <w:r>
        <w:t>The implementation uses exact SHA-256 content identity, not filename similarity. A duplicate outcome points to an already registered canonical document/source asset and does not create a second searchable document.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40"/>
            </w:pPr>
            <w:r/>
            <w:r>
              <w:rPr>
                <w:b/>
                <w:color w:val="FFFFFF"/>
                <w:sz w:val="17"/>
              </w:rPr>
              <w:t>Verified run</w:t>
            </w:r>
          </w:p>
        </w:tc>
        <w:tc>
          <w:tcPr>
            <w:tcW w:type="dxa" w:w="2520"/>
            <w:vAlign w:val="center"/>
            <w:shd w:fill="1F4E79"/>
          </w:tcPr>
          <w:p>
            <w:pPr>
              <w:spacing w:after="40"/>
            </w:pPr>
            <w:r/>
            <w:r>
              <w:rPr>
                <w:b/>
                <w:color w:val="FFFFFF"/>
                <w:sz w:val="17"/>
              </w:rPr>
              <w:t>Source scope</w:t>
            </w:r>
          </w:p>
        </w:tc>
        <w:tc>
          <w:tcPr>
            <w:tcW w:type="dxa" w:w="2520"/>
            <w:vAlign w:val="center"/>
            <w:shd w:fill="1F4E79"/>
          </w:tcPr>
          <w:p>
            <w:pPr>
              <w:spacing w:after="40"/>
            </w:pPr>
            <w:r/>
            <w:r>
              <w:rPr>
                <w:b/>
                <w:color w:val="FFFFFF"/>
                <w:sz w:val="17"/>
              </w:rPr>
              <w:t>Duplicate result</w:t>
            </w:r>
          </w:p>
        </w:tc>
        <w:tc>
          <w:tcPr>
            <w:tcW w:type="dxa" w:w="2520"/>
            <w:vAlign w:val="center"/>
            <w:shd w:fill="1F4E79"/>
          </w:tcPr>
          <w:p>
            <w:pPr>
              <w:spacing w:after="40"/>
            </w:pPr>
            <w:r/>
            <w:r>
              <w:rPr>
                <w:b/>
                <w:color w:val="FFFFFF"/>
                <w:sz w:val="17"/>
              </w:rPr>
              <w:t>File names and paths retained</w:t>
            </w:r>
          </w:p>
        </w:tc>
      </w:tr>
      <w:tr>
        <w:tc>
          <w:tcPr>
            <w:tcW w:type="dxa" w:w="2520"/>
            <w:vAlign w:val="center"/>
            <w:shd w:fill="FFFFFF"/>
          </w:tcPr>
          <w:p>
            <w:pPr>
              <w:spacing w:after="40"/>
            </w:pPr>
            <w:r/>
            <w:r>
              <w:rPr>
                <w:b w:val="0"/>
                <w:sz w:val="17"/>
              </w:rPr>
              <w:t>976f1173-129c-496a-a394-8ce438608e21</w:t>
            </w:r>
          </w:p>
        </w:tc>
        <w:tc>
          <w:tcPr>
            <w:tcW w:type="dxa" w:w="2520"/>
            <w:vAlign w:val="center"/>
            <w:shd w:fill="FFFFFF"/>
          </w:tcPr>
          <w:p>
            <w:pPr>
              <w:spacing w:after="40"/>
            </w:pPr>
            <w:r/>
            <w:r>
              <w:rPr>
                <w:b w:val="0"/>
                <w:sz w:val="17"/>
              </w:rPr>
              <w:t>s3://demo-bucket-prism/demos/csv-multimodal-5gb/20260920-b114b5d3/</w:t>
            </w:r>
          </w:p>
        </w:tc>
        <w:tc>
          <w:tcPr>
            <w:tcW w:type="dxa" w:w="2520"/>
            <w:vAlign w:val="center"/>
            <w:shd w:fill="FFFFFF"/>
          </w:tcPr>
          <w:p>
            <w:pPr>
              <w:spacing w:after="40"/>
            </w:pPr>
            <w:r/>
            <w:r>
              <w:rPr>
                <w:b w:val="0"/>
                <w:sz w:val="17"/>
              </w:rPr>
              <w:t>4 duplicate outcomes among 41 content objects</w:t>
            </w:r>
          </w:p>
        </w:tc>
        <w:tc>
          <w:tcPr>
            <w:tcW w:type="dxa" w:w="2520"/>
            <w:vAlign w:val="center"/>
            <w:shd w:fill="FFFFFF"/>
          </w:tcPr>
          <w:p>
            <w:pPr>
              <w:spacing w:after="40"/>
            </w:pPr>
            <w:r/>
            <w:r>
              <w:rPr>
                <w:b w:val="0"/>
                <w:sz w:val="17"/>
              </w:rPr>
              <w:t>The retained acceptance JSON/report records the count and checksum rule, but not the four duplicate object keys or matched canonical paths.</w:t>
            </w:r>
          </w:p>
        </w:tc>
      </w:tr>
      <w:tr>
        <w:tc>
          <w:tcPr>
            <w:tcW w:type="dxa" w:w="2520"/>
            <w:vAlign w:val="center"/>
            <w:shd w:fill="F4F7FA"/>
          </w:tcPr>
          <w:p>
            <w:pPr>
              <w:spacing w:after="40"/>
            </w:pPr>
            <w:r/>
            <w:r>
              <w:rPr>
                <w:b w:val="0"/>
                <w:sz w:val="17"/>
              </w:rPr>
              <w:t>3261f4cf-8733-48a9-8031-4705671cf6c3</w:t>
            </w:r>
          </w:p>
        </w:tc>
        <w:tc>
          <w:tcPr>
            <w:tcW w:type="dxa" w:w="2520"/>
            <w:vAlign w:val="center"/>
            <w:shd w:fill="F4F7FA"/>
          </w:tcPr>
          <w:p>
            <w:pPr>
              <w:spacing w:after="40"/>
            </w:pPr>
            <w:r/>
            <w:r>
              <w:rPr>
                <w:b w:val="0"/>
                <w:sz w:val="17"/>
              </w:rPr>
              <w:t>NAS connector 0f91a09b-127a-4a9c-b61a-f844f1479f3f; tagged NAS folder</w:t>
            </w:r>
          </w:p>
        </w:tc>
        <w:tc>
          <w:tcPr>
            <w:tcW w:type="dxa" w:w="2520"/>
            <w:vAlign w:val="center"/>
            <w:shd w:fill="F4F7FA"/>
          </w:tcPr>
          <w:p>
            <w:pPr>
              <w:spacing w:after="40"/>
            </w:pPr>
            <w:r/>
            <w:r>
              <w:rPr>
                <w:b w:val="0"/>
                <w:sz w:val="17"/>
              </w:rPr>
              <w:t>2 checksum duplicates among 20 processed files</w:t>
            </w:r>
          </w:p>
        </w:tc>
        <w:tc>
          <w:tcPr>
            <w:tcW w:type="dxa" w:w="2520"/>
            <w:vAlign w:val="center"/>
            <w:shd w:fill="F4F7FA"/>
          </w:tcPr>
          <w:p>
            <w:pPr>
              <w:spacing w:after="40"/>
            </w:pPr>
            <w:r/>
            <w:r>
              <w:rPr>
                <w:b w:val="0"/>
                <w:sz w:val="17"/>
              </w:rPr>
              <w:t>The retained NAS report records the count and IDs, but not the two duplicate file paths or matched originals.</w:t>
            </w:r>
          </w:p>
        </w:tc>
      </w:tr>
    </w:tbl>
    <w:p>
      <w:pPr>
        <w:spacing w:after="40"/>
      </w:pPr>
    </w:p>
    <w:p>
      <w:r>
        <w:t>For the requested per-file appendix, the production database export should include: duplicate source path/object key, matched canonical document ID, original source path/object key, SHA-256, byte size, MIME type, connector ID, run ID and detection timestamp. Those fields are authoritative; filenames should not be reconstructed from screenshots or inferred from counts.</w:t>
      </w:r>
    </w:p>
    <w:p>
      <w:pPr>
        <w:pStyle w:val="Heading1"/>
      </w:pPr>
      <w:r>
        <w:t>2 AI Enrichment</w:t>
      </w:r>
    </w:p>
    <w:p>
      <w:r>
        <w:rPr>
          <w:b/>
        </w:rPr>
        <w:t xml:space="preserve">Purpose. </w:t>
      </w:r>
      <w:r>
        <w:t>Convert each canonical document into bounded, explainable AI metadata and searchable representations while preserving vendor metadata separately.</w:t>
      </w:r>
    </w:p>
    <w:p>
      <w:pPr>
        <w:pStyle w:val="Heading2"/>
      </w:pPr>
      <w:r>
        <w:t>Backend used</w:t>
      </w:r>
    </w:p>
    <w:p>
      <w:pPr>
        <w:pStyle w:val="ListBullet"/>
      </w:pPr>
      <w:r>
        <w:t>AI API, Kafka consumer and Celery worker in modules/ai_tag_description_generation; PostgreSQL enrichment schema; Redis result events.</w:t>
      </w:r>
    </w:p>
    <w:p>
      <w:pPr>
        <w:pStyle w:val="ListBullet"/>
      </w:pPr>
      <w:r>
        <w:t>Local/offline model cache with multimodal models including CLIP, OCR, Whisper and BART-based text processing; Qdrant stores embeddings.</w:t>
      </w:r>
    </w:p>
    <w:p>
      <w:pPr>
        <w:pStyle w:val="ListBullet"/>
      </w:pPr>
      <w:r>
        <w:t>AI retrieves source bytes through the Ingestion entitlement API: presigned URL for S3 or authenticated connector streaming for NAS/SMB/NFS.</w:t>
      </w:r>
    </w:p>
    <w:p>
      <w:pPr>
        <w:pStyle w:val="Heading2"/>
      </w:pPr>
      <w:r>
        <w:t>Internal processing logic</w:t>
      </w:r>
    </w:p>
    <w:p>
      <w:pPr>
        <w:pStyle w:val="ListBullet"/>
      </w:pPr>
      <w:r>
        <w:t>Ingestion emits an event containing source IDs, MIME, size, SHA-256, provenance, entitlement and bounded vendor metadata. The AI consumer validates this contract.</w:t>
      </w:r>
    </w:p>
    <w:p>
      <w:pPr>
        <w:pStyle w:val="ListBullet"/>
      </w:pPr>
      <w:r>
        <w:t>The worker verifies downloaded size and SHA-256, then executes modality-specific extraction/OCR/transcription, tagging/description, safety/PII/confidence, persistence and embedding/index delivery.</w:t>
      </w:r>
    </w:p>
    <w:p>
      <w:pPr>
        <w:pStyle w:val="ListBullet"/>
      </w:pPr>
      <w:r>
        <w:t>AI rows are idempotent on document ID, model name/version and enrichment version. Vendor tags remain vendor-owned.</w:t>
      </w:r>
    </w:p>
    <w:p>
      <w:pPr>
        <w:pStyle w:val="ListBullet"/>
      </w:pPr>
      <w:r>
        <w:t>CLIP embeddings are written to Qdrant. The current multimodal index uses 384-dimensional text passage vectors and 512-dimensional visual vectors for images and sampled video frames.</w:t>
      </w:r>
    </w:p>
    <w:p>
      <w:pPr>
        <w:pStyle w:val="Heading2"/>
      </w:pPr>
      <w:r>
        <w:t>Performance and speed</w:t>
      </w:r>
    </w:p>
    <w:p>
      <w:pPr>
        <w:pStyle w:val="ListBullet"/>
      </w:pPr>
      <w:r>
        <w:t>Latest S3 acceptance: 37 published documents; 16 AI results completed and 21 safety-cleared partial results.</w:t>
      </w:r>
    </w:p>
    <w:p>
      <w:pPr>
        <w:pStyle w:val="ListBullet"/>
      </w:pPr>
      <w:r>
        <w:t>Actual model initialization passed for 15 components. A real WAV run previously peaked at 4,463.3 MiB RSS; single-model-cache policy serializes inference on the 7.6 GiB allocation.</w:t>
      </w:r>
    </w:p>
    <w:p>
      <w:pPr>
        <w:pStyle w:val="ListBullet"/>
      </w:pPr>
      <w:r>
        <w:t>AI quality is mixed on the small sample: image tags generally identified major objects, but captions/OCR included noise; PDF extraction preserved joined words and hyphenation artifacts.</w:t>
      </w:r>
    </w:p>
    <w:p>
      <w:pPr>
        <w:pStyle w:val="Heading2"/>
      </w:pPr>
      <w:r>
        <w:t>Accuracy and observed results</w:t>
      </w:r>
    </w:p>
    <w:p>
      <w:pPr>
        <w:pStyle w:val="ListBullet"/>
      </w:pPr>
      <w:r>
        <w:t>Latest S3 acceptance: 37 published documents; 16 AI results completed and 21 safety-cleared partial results.</w:t>
      </w:r>
    </w:p>
    <w:p>
      <w:pPr>
        <w:pStyle w:val="ListBullet"/>
      </w:pPr>
      <w:r>
        <w:t>Actual model initialization passed for 15 components. A real WAV run previously peaked at 4,463.3 MiB RSS; single-model-cache policy serializes inference on the 7.6 GiB allocation.</w:t>
      </w:r>
    </w:p>
    <w:p>
      <w:pPr>
        <w:pStyle w:val="ListBullet"/>
      </w:pPr>
      <w:r>
        <w:t>AI quality is mixed on the small sample: image tags generally identified major objects, but captions/OCR included noise; PDF extraction preserved joined words and hyphenation artifacts.</w:t>
      </w:r>
    </w:p>
    <w:p>
      <w:pPr>
        <w:pStyle w:val="Heading2"/>
      </w:pPr>
      <w:r>
        <w:t>Error handling and recovery</w:t>
      </w:r>
    </w:p>
    <w:p>
      <w:pPr>
        <w:pStyle w:val="ListBullet"/>
      </w:pPr>
      <w:r>
        <w:t>At-least-once Kafka delivery, stable idempotency keys and a DLQ preserve recoverability. Offsets are committed only after a terminal persisted state.</w:t>
      </w:r>
    </w:p>
    <w:p>
      <w:pPr>
        <w:pStyle w:val="ListBullet"/>
      </w:pPr>
      <w:r>
        <w:t>Checksum mismatch, malformed event metadata, missing model, broker failure and source-access failures are surfaced as retryable or terminal states. Temporary files are deleted in finally blocks.</w:t>
      </w:r>
    </w:p>
    <w:p>
      <w:pPr>
        <w:pStyle w:val="ListBullet"/>
      </w:pPr>
      <w:r>
        <w:t>Low-memory loading was repaired with memory-mapped checkpoints and low-memory BART loading. Low-memory summarization is bounded to 512 opening tokens; full extracted text is retained.</w:t>
      </w:r>
    </w:p>
    <w:p>
      <w:pPr>
        <w:pStyle w:val="Heading1"/>
      </w:pPr>
      <w:r>
        <w:t>3 Multi Model Search</w:t>
      </w:r>
    </w:p>
    <w:p>
      <w:r>
        <w:rPr>
          <w:b/>
        </w:rPr>
        <w:t xml:space="preserve">Purpose. </w:t>
      </w:r>
      <w:r>
        <w:t>Return authorized results from lexical, semantic and visual signals, then verify relevance before pagination, facets and download planning.</w:t>
      </w:r>
    </w:p>
    <w:p>
      <w:pPr>
        <w:pStyle w:val="Heading2"/>
      </w:pPr>
      <w:r>
        <w:t>Backend used</w:t>
      </w:r>
    </w:p>
    <w:p>
      <w:pPr>
        <w:pStyle w:val="ListBullet"/>
      </w:pPr>
      <w:r>
        <w:t>FastAPI Search service on port 8002 with PostgreSQL repositories, Qdrant client and Redis; gateway proxies /search routes.</w:t>
      </w:r>
    </w:p>
    <w:p>
      <w:pPr>
        <w:pStyle w:val="ListBullet"/>
      </w:pPr>
      <w:r>
        <w:t>PostgreSQL full-text/metadata retrieval; Qdrant cosine retrieval for text and visual vectors; cross-encoder relevance verification.</w:t>
      </w:r>
    </w:p>
    <w:p>
      <w:pPr>
        <w:pStyle w:val="ListBullet"/>
      </w:pPr>
      <w:r>
        <w:t>Hybrid search uses Reciprocal Rank Fusion with default k=60 and equal keyword/vector weights; filters and entitlements are rechecked against PostgreSQL.</w:t>
      </w:r>
    </w:p>
    <w:p>
      <w:pPr>
        <w:pStyle w:val="Heading2"/>
      </w:pPr>
      <w:r>
        <w:t>Internal processing logic</w:t>
      </w:r>
    </w:p>
    <w:p>
      <w:pPr>
        <w:pStyle w:val="ListBullet"/>
      </w:pPr>
      <w:r>
        <w:t>Query normalization applies whole-term/plural-aware lexical matching. Hybrid and vector modes retrieve bounded candidates, then verify relevance across up to three passages per file.</w:t>
      </w:r>
    </w:p>
    <w:p>
      <w:pPr>
        <w:pStyle w:val="ListBullet"/>
      </w:pPr>
      <w:r>
        <w:t>Text is split into overlapping 220-token passages, capped at 64 passages per file. Visual search uses actual image pixels or eight evenly spaced video frames; MAX_SIM preserves the strongest match.</w:t>
      </w:r>
    </w:p>
    <w:p>
      <w:pPr>
        <w:pStyle w:val="ListBullet"/>
      </w:pPr>
      <w:r>
        <w:t>Keyword, semantic and visual evidence are merged by rank; weak visual candidates are filtered. Popularity cannot override verified relevance.</w:t>
      </w:r>
    </w:p>
    <w:p>
      <w:pPr>
        <w:pStyle w:val="ListBullet"/>
      </w:pPr>
      <w:r>
        <w:t>Facet totals, pagination and download-plan IDs are derived from the verified eligible set, preventing hidden or stale vector rows from becoming visible results.</w:t>
      </w:r>
    </w:p>
    <w:p>
      <w:pPr>
        <w:pStyle w:val="Heading2"/>
      </w:pPr>
      <w:r>
        <w:t>Performance and speed</w:t>
      </w:r>
    </w:p>
    <w:p>
      <w:pPr>
        <w:pStyle w:val="ListBullet"/>
      </w:pPr>
      <w:r>
        <w:t>On the same 43-document catalog, final medians including authentication and durable Audit were 2,116 ms text, 2,822 ms hybrid and 2,420 ms vector, versus 6,758, 3,857 and 4,170 ms before optimization.</w:t>
      </w:r>
    </w:p>
    <w:p>
      <w:pPr>
        <w:pStyle w:val="ListBullet"/>
      </w:pPr>
      <w:r>
        <w:t>Later live v2 measurements: median API duration 2.75 s vector and 1.93 s hybrid; one browser hybrid UI measured 3.43 s. These are local samples, not a load-test SLA.</w:t>
      </w:r>
    </w:p>
    <w:p>
      <w:pPr>
        <w:pStyle w:val="ListBullet"/>
      </w:pPr>
      <w:r>
        <w:t>In the 34-case live relevance run, all 17 vector and 17 hybrid cases passed; the smaller manually inspected sample ranked expected objects first in 6/7 text, 5/7 hybrid and 6/7 vector queries.</w:t>
      </w:r>
    </w:p>
    <w:p>
      <w:pPr>
        <w:pStyle w:val="Heading2"/>
      </w:pPr>
      <w:r>
        <w:t>Accuracy and observed results</w:t>
      </w:r>
    </w:p>
    <w:p>
      <w:pPr>
        <w:pStyle w:val="ListBullet"/>
      </w:pPr>
      <w:r>
        <w:t>On the same 43-document catalog, final medians including authentication and durable Audit were 2,116 ms text, 2,822 ms hybrid and 2,420 ms vector, versus 6,758, 3,857 and 4,170 ms before optimization.</w:t>
      </w:r>
    </w:p>
    <w:p>
      <w:pPr>
        <w:pStyle w:val="ListBullet"/>
      </w:pPr>
      <w:r>
        <w:t>Later live v2 measurements: median API duration 2.75 s vector and 1.93 s hybrid; one browser hybrid UI measured 3.43 s. These are local samples, not a load-test SLA.</w:t>
      </w:r>
    </w:p>
    <w:p>
      <w:pPr>
        <w:pStyle w:val="ListBullet"/>
      </w:pPr>
      <w:r>
        <w:t>In the 34-case live relevance run, all 17 vector and 17 hybrid cases passed; the smaller manually inspected sample ranked expected objects first in 6/7 text, 5/7 hybrid and 6/7 vector queries.</w:t>
      </w:r>
    </w:p>
    <w:p>
      <w:pPr>
        <w:pStyle w:val="Heading2"/>
      </w:pPr>
      <w:r>
        <w:t>Error handling and recovery</w:t>
      </w:r>
    </w:p>
    <w:p>
      <w:pPr>
        <w:pStyle w:val="ListBullet"/>
      </w:pPr>
      <w:r>
        <w:t>Database outages return sanitized 503 responses; stale connections and Qdrant availability are checked at startup and through readiness.</w:t>
      </w:r>
    </w:p>
    <w:p>
      <w:pPr>
        <w:pStyle w:val="ListBullet"/>
      </w:pPr>
      <w:r>
        <w:t>Cold model loading, cloud database round trips and concurrent AI work cause tail latency. Candidate windows, passage caps and English-oriented models can miss relevant material.</w:t>
      </w:r>
    </w:p>
    <w:p>
      <w:pPr>
        <w:pStyle w:val="ListBullet"/>
      </w:pPr>
      <w:r>
        <w:t>RRF scores and relevance logits are ranking diagnostics, not calibrated probabilities. The UI exposes evidence such as Keyword match, Semantic match or both.</w:t>
      </w:r>
    </w:p>
    <w:p>
      <w:pPr>
        <w:pStyle w:val="Heading1"/>
      </w:pPr>
      <w:r>
        <w:t>4 Download</w:t>
      </w:r>
    </w:p>
    <w:p>
      <w:r>
        <w:rPr>
          <w:b/>
        </w:rPr>
        <w:t xml:space="preserve">Purpose. </w:t>
      </w:r>
      <w:r>
        <w:t>Authorize, package and deliver selected source files with persistent job state, checksums, metadata and forensic traceability.</w:t>
      </w:r>
    </w:p>
    <w:p>
      <w:pPr>
        <w:pStyle w:val="Heading2"/>
      </w:pPr>
      <w:r>
        <w:t>Backend used</w:t>
      </w:r>
    </w:p>
    <w:p>
      <w:pPr>
        <w:pStyle w:val="ListBullet"/>
      </w:pPr>
      <w:r>
        <w:t>Download/auditing service with PostgreSQL download schema, Redis broker, Celery downloads queue and persistent package storage.</w:t>
      </w:r>
    </w:p>
    <w:p>
      <w:pPr>
        <w:pStyle w:val="ListBullet"/>
      </w:pPr>
      <w:r>
        <w:t>Ingestion entitlement checks and Search download plans determine current eligibility; source bytes stream through protected endpoints.</w:t>
      </w:r>
    </w:p>
    <w:p>
      <w:pPr>
        <w:pStyle w:val="ListBullet"/>
      </w:pPr>
      <w:r>
        <w:t>Watermark adapters support metadata, EXIF/cryptographic and optional native codec paths; HMAC-SHA256 tokens bind delivery to the job and request snapshot.</w:t>
      </w:r>
    </w:p>
    <w:p>
      <w:pPr>
        <w:pStyle w:val="Heading2"/>
      </w:pPr>
      <w:r>
        <w:t>Internal processing logic</w:t>
      </w:r>
    </w:p>
    <w:p>
      <w:pPr>
        <w:pStyle w:val="ListBullet"/>
      </w:pPr>
      <w:r>
        <w:t>Preview recalculates current count, bytes, datasets and licence dates. Batch requests require project name, usage purpose and selected IDs.</w:t>
      </w:r>
    </w:p>
    <w:p>
      <w:pPr>
        <w:pStyle w:val="ListBullet"/>
      </w:pPr>
      <w:r>
        <w:t>Jobs are persisted before packaging. Small requests can use a bounded API slot; larger or signal-transform requests use Celery. Originals stream to temporary disk and ZIP entries stream from disk.</w:t>
      </w:r>
    </w:p>
    <w:p>
      <w:pPr>
        <w:pStyle w:val="ListBullet"/>
      </w:pPr>
      <w:r>
        <w:t>Each archive part includes watermarked files, SHA256SUMS.txt, a manifest and optionally metadata.csv. The request snapshot is stored with the job and forensic rows.</w:t>
      </w:r>
    </w:p>
    <w:p>
      <w:pPr>
        <w:pStyle w:val="ListBullet"/>
      </w:pPr>
      <w:r>
        <w:t>Browser transfer reports bytes received, rate, ETA and elapsed time. Cancellation aborts incomplete transfers; browser receipts are separate from server Audit.</w:t>
      </w:r>
    </w:p>
    <w:p>
      <w:pPr>
        <w:pStyle w:val="Heading2"/>
      </w:pPr>
      <w:r>
        <w:t>Performance and speed</w:t>
      </w:r>
    </w:p>
    <w:p>
      <w:pPr>
        <w:pStyle w:val="ListBullet"/>
      </w:pPr>
      <w:r>
        <w:t>26-file standard-user archive packaged successfully, passed ZIP integrity and supported-format forensic verification. A separate 26-file small-asset archive passed packaging and retrieval checks.</w:t>
      </w:r>
    </w:p>
    <w:p>
      <w:pPr>
        <w:pStyle w:val="ListBullet"/>
      </w:pPr>
      <w:r>
        <w:t>Oversized job failed visibly with no URL and HTTP 409 on retrieval. The later implementation removes the per-file ceiling when max_file_bytes=0, while whole-request and disk checks remain.</w:t>
      </w:r>
    </w:p>
    <w:p>
      <w:pPr>
        <w:pStyle w:val="ListBullet"/>
      </w:pPr>
      <w:r>
        <w:t>CSV/TXT preserve original content plus a watermark trailer, so byte identity and CSV row counts are not guaranteed.</w:t>
      </w:r>
    </w:p>
    <w:p>
      <w:pPr>
        <w:pStyle w:val="Heading2"/>
      </w:pPr>
      <w:r>
        <w:t>Accuracy and observed results</w:t>
      </w:r>
    </w:p>
    <w:p>
      <w:pPr>
        <w:pStyle w:val="ListBullet"/>
      </w:pPr>
      <w:r>
        <w:t>26-file standard-user archive packaged successfully, passed ZIP integrity and supported-format forensic verification. A separate 26-file small-asset archive passed packaging and retrieval checks.</w:t>
      </w:r>
    </w:p>
    <w:p>
      <w:pPr>
        <w:pStyle w:val="ListBullet"/>
      </w:pPr>
      <w:r>
        <w:t>Oversized job failed visibly with no URL and HTTP 409 on retrieval. The later implementation removes the per-file ceiling when max_file_bytes=0, while whole-request and disk checks remain.</w:t>
      </w:r>
    </w:p>
    <w:p>
      <w:pPr>
        <w:pStyle w:val="ListBullet"/>
      </w:pPr>
      <w:r>
        <w:t>CSV/TXT preserve original content plus a watermark trailer, so byte identity and CSV row counts are not guaranteed.</w:t>
      </w:r>
    </w:p>
    <w:p>
      <w:pPr>
        <w:pStyle w:val="Heading2"/>
      </w:pPr>
      <w:r>
        <w:t>Error handling and recovery</w:t>
      </w:r>
    </w:p>
    <w:p>
      <w:pPr>
        <w:pStyle w:val="ListBullet"/>
      </w:pPr>
      <w:r>
        <w:t>Access, ownership, licence and size checks are server-side; client-displayed counts are only a preview snapshot.</w:t>
      </w:r>
    </w:p>
    <w:p>
      <w:pPr>
        <w:pStyle w:val="ListBullet"/>
      </w:pPr>
      <w:r>
        <w:t>Source failures identify the file and advise checking source access. Failed packaging has no downloadable archive. Worker restarts recover committed jobs from the broker/database.</w:t>
      </w:r>
    </w:p>
    <w:p>
      <w:pPr>
        <w:pStyle w:val="ListBullet"/>
      </w:pPr>
      <w:r>
        <w:t>Watermarking is format-specific. Native codec modes require compatible binaries and shared secrets; unsupported browser codecs show an explicit unavailable state.</w:t>
      </w:r>
    </w:p>
    <w:p>
      <w:pPr>
        <w:pStyle w:val="Heading1"/>
      </w:pPr>
      <w:r>
        <w:t>5 Audit</w:t>
      </w:r>
    </w:p>
    <w:p>
      <w:r>
        <w:rPr>
          <w:b/>
        </w:rPr>
        <w:t xml:space="preserve">Purpose. </w:t>
      </w:r>
      <w:r>
        <w:t>Provide an append-only, searchable record of user, service and delivery actions across modules.</w:t>
      </w:r>
    </w:p>
    <w:p>
      <w:pPr>
        <w:pStyle w:val="Heading2"/>
      </w:pPr>
      <w:r>
        <w:t>Backend used</w:t>
      </w:r>
    </w:p>
    <w:p>
      <w:pPr>
        <w:pStyle w:val="ListBullet"/>
      </w:pPr>
      <w:r>
        <w:t>Shared audit ledger in the audit PostgreSQL schema, exposed through administrator APIs and CSV export.</w:t>
      </w:r>
    </w:p>
    <w:p>
      <w:pPr>
        <w:pStyle w:val="ListBullet"/>
      </w:pPr>
      <w:r>
        <w:t>Internal signed event endpoint with scoped audit:write identity; shared publisher; transactional outbox for reliable publication.</w:t>
      </w:r>
    </w:p>
    <w:p>
      <w:pPr>
        <w:pStyle w:val="ListBullet"/>
      </w:pPr>
      <w:r>
        <w:t>Correlation IDs, actor/role, action, status, object/document/job IDs, timing and sanitized details support forensic review.</w:t>
      </w:r>
    </w:p>
    <w:p>
      <w:pPr>
        <w:pStyle w:val="Heading2"/>
      </w:pPr>
      <w:r>
        <w:t>Internal processing logic</w:t>
      </w:r>
    </w:p>
    <w:p>
      <w:pPr>
        <w:pStyle w:val="ListBullet"/>
      </w:pPr>
      <w:r>
        <w:t>Search, preview, similarity, download planning, packaging, authentication and recovery write structured events. Event IDs are stable for idempotent delivery.</w:t>
      </w:r>
    </w:p>
    <w:p>
      <w:pPr>
        <w:pStyle w:val="ListBullet"/>
      </w:pPr>
      <w:r>
        <w:t>Administrator queries filter by time, action, actor and status; analytics aggregate action/status counts and execution timing.</w:t>
      </w:r>
    </w:p>
    <w:p>
      <w:pPr>
        <w:pStyle w:val="ListBullet"/>
      </w:pPr>
      <w:r>
        <w:t>Audit is separate from user-facing search metadata and is not treated as transient UI telemetry. Download forensic rows link to the job and request snapshot.</w:t>
      </w:r>
    </w:p>
    <w:p>
      <w:pPr>
        <w:pStyle w:val="Heading2"/>
      </w:pPr>
      <w:r>
        <w:t>Performance and speed</w:t>
      </w:r>
    </w:p>
    <w:p>
      <w:pPr>
        <w:pStyle w:val="ListBullet"/>
      </w:pPr>
      <w:r>
        <w:t>Acceptance verified persistent Audit for search, preview, download delivery, session revocation and normal user activity. Audit tests passed in a disposable RDS database.</w:t>
      </w:r>
    </w:p>
    <w:p>
      <w:pPr>
        <w:pStyle w:val="ListBullet"/>
      </w:pPr>
      <w:r>
        <w:t>Search latency metrics persist execution time; client timing also includes network and JSON parsing.</w:t>
      </w:r>
    </w:p>
    <w:p>
      <w:pPr>
        <w:pStyle w:val="Heading2"/>
      </w:pPr>
      <w:r>
        <w:t>Accuracy and observed results</w:t>
      </w:r>
    </w:p>
    <w:p>
      <w:pPr>
        <w:pStyle w:val="ListBullet"/>
      </w:pPr>
      <w:r>
        <w:t>Acceptance verified persistent Audit for search, preview, download delivery, session revocation and normal user activity. Audit tests passed in a disposable RDS database.</w:t>
      </w:r>
    </w:p>
    <w:p>
      <w:pPr>
        <w:pStyle w:val="ListBullet"/>
      </w:pPr>
      <w:r>
        <w:t>Search latency metrics persist execution time; client timing also includes network and JSON parsing.</w:t>
      </w:r>
    </w:p>
    <w:p>
      <w:pPr>
        <w:pStyle w:val="Heading2"/>
      </w:pPr>
      <w:r>
        <w:t>Error handling and recovery</w:t>
      </w:r>
    </w:p>
    <w:p>
      <w:pPr>
        <w:pStyle w:val="ListBullet"/>
      </w:pPr>
      <w:r>
        <w:t>Audit writes are part of success criteria: a failed Audit write is not reported as successful operation. Database outages return an explicit unavailable state.</w:t>
      </w:r>
    </w:p>
    <w:p>
      <w:pPr>
        <w:pStyle w:val="ListBullet"/>
      </w:pPr>
      <w:r>
        <w:t>Outbox rows retry after transient failures; duplicate events are ignored using the stable event key. Sanitized diagnostics are exposed without secrets.</w:t>
      </w:r>
    </w:p>
    <w:p>
      <w:pPr>
        <w:pStyle w:val="ListBullet"/>
      </w:pPr>
      <w:r>
        <w:t>Export is limited to authorized administrators; ownership and session revocation checks remain enforced outside the audit query.</w:t>
      </w:r>
    </w:p>
    <w:p>
      <w:pPr>
        <w:pStyle w:val="Heading1"/>
      </w:pPr>
      <w:r>
        <w:t>Measured results and limitations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b/>
                <w:color w:val="FFFFFF"/>
                <w:sz w:val="17"/>
              </w:rPr>
              <w:t>Area</w:t>
            </w:r>
          </w:p>
        </w:tc>
        <w:tc>
          <w:tcPr>
            <w:tcW w:type="dxa" w:w="3360"/>
            <w:vAlign w:val="center"/>
            <w:shd w:fill="1F4E79"/>
          </w:tcPr>
          <w:p>
            <w:pPr>
              <w:spacing w:after="40"/>
            </w:pPr>
            <w:r/>
            <w:r>
              <w:rPr>
                <w:b/>
                <w:color w:val="FFFFFF"/>
                <w:sz w:val="17"/>
              </w:rPr>
              <w:t>Verified result</w:t>
            </w:r>
          </w:p>
        </w:tc>
        <w:tc>
          <w:tcPr>
            <w:tcW w:type="dxa" w:w="3360"/>
            <w:vAlign w:val="center"/>
            <w:shd w:fill="1F4E79"/>
          </w:tcPr>
          <w:p>
            <w:pPr>
              <w:spacing w:after="40"/>
            </w:pPr>
            <w:r/>
            <w:r>
              <w:rPr>
                <w:b/>
                <w:color w:val="FFFFFF"/>
                <w:sz w:val="17"/>
              </w:rPr>
              <w:t>Interpretation</w:t>
            </w:r>
          </w:p>
        </w:tc>
      </w:tr>
      <w:tr>
        <w:tc>
          <w:tcPr>
            <w:tcW w:type="dxa" w:w="3360"/>
            <w:vAlign w:val="center"/>
            <w:shd w:fill="FFFFFF"/>
          </w:tcPr>
          <w:p>
            <w:pPr>
              <w:spacing w:after="40"/>
            </w:pPr>
            <w:r/>
            <w:r>
              <w:rPr>
                <w:b w:val="0"/>
                <w:sz w:val="17"/>
              </w:rPr>
              <w:t>Ingestion</w:t>
            </w:r>
          </w:p>
        </w:tc>
        <w:tc>
          <w:tcPr>
            <w:tcW w:type="dxa" w:w="3360"/>
            <w:vAlign w:val="center"/>
            <w:shd w:fill="FFFFFF"/>
          </w:tcPr>
          <w:p>
            <w:pPr>
              <w:spacing w:after="40"/>
            </w:pPr>
            <w:r/>
            <w:r>
              <w:rPr>
                <w:b w:val="0"/>
                <w:sz w:val="17"/>
              </w:rPr>
              <w:t>41 content objects; 37 canonical; 4 duplicates; 0 failures</w:t>
            </w:r>
          </w:p>
        </w:tc>
        <w:tc>
          <w:tcPr>
            <w:tcW w:type="dxa" w:w="3360"/>
            <w:vAlign w:val="center"/>
            <w:shd w:fill="FFFFFF"/>
          </w:tcPr>
          <w:p>
            <w:pPr>
              <w:spacing w:after="40"/>
            </w:pPr>
            <w:r/>
            <w:r>
              <w:rPr>
                <w:b w:val="0"/>
                <w:sz w:val="17"/>
              </w:rPr>
              <w:t>Exact checksum deduplication and canonical identity worked for the bounded S3 run.</w:t>
            </w:r>
          </w:p>
        </w:tc>
      </w:tr>
      <w:tr>
        <w:tc>
          <w:tcPr>
            <w:tcW w:type="dxa" w:w="3360"/>
            <w:vAlign w:val="center"/>
            <w:shd w:fill="F4F7FA"/>
          </w:tcPr>
          <w:p>
            <w:pPr>
              <w:spacing w:after="40"/>
            </w:pPr>
            <w:r/>
            <w:r>
              <w:rPr>
                <w:b w:val="0"/>
                <w:sz w:val="17"/>
              </w:rPr>
              <w:t>AI</w:t>
            </w:r>
          </w:p>
        </w:tc>
        <w:tc>
          <w:tcPr>
            <w:tcW w:type="dxa" w:w="3360"/>
            <w:vAlign w:val="center"/>
            <w:shd w:fill="F4F7FA"/>
          </w:tcPr>
          <w:p>
            <w:pPr>
              <w:spacing w:after="40"/>
            </w:pPr>
            <w:r/>
            <w:r>
              <w:rPr>
                <w:b w:val="0"/>
                <w:sz w:val="17"/>
              </w:rPr>
              <w:t>16 completed; 21 safety-cleared partial; 37 published</w:t>
            </w:r>
          </w:p>
        </w:tc>
        <w:tc>
          <w:tcPr>
            <w:tcW w:type="dxa" w:w="3360"/>
            <w:vAlign w:val="center"/>
            <w:shd w:fill="F4F7FA"/>
          </w:tcPr>
          <w:p>
            <w:pPr>
              <w:spacing w:after="40"/>
            </w:pPr>
            <w:r/>
            <w:r>
              <w:rPr>
                <w:b w:val="0"/>
                <w:sz w:val="17"/>
              </w:rPr>
              <w:t>Execution and safety routing worked; partial means quality/confidence limits, not silently failed processing.</w:t>
            </w:r>
          </w:p>
        </w:tc>
      </w:tr>
      <w:tr>
        <w:tc>
          <w:tcPr>
            <w:tcW w:type="dxa" w:w="3360"/>
            <w:vAlign w:val="center"/>
            <w:shd w:fill="FFFFFF"/>
          </w:tcPr>
          <w:p>
            <w:pPr>
              <w:spacing w:after="40"/>
            </w:pPr>
            <w:r/>
            <w:r>
              <w:rPr>
                <w:b w:val="0"/>
                <w:sz w:val="17"/>
              </w:rPr>
              <w:t>Search</w:t>
            </w:r>
          </w:p>
        </w:tc>
        <w:tc>
          <w:tcPr>
            <w:tcW w:type="dxa" w:w="3360"/>
            <w:vAlign w:val="center"/>
            <w:shd w:fill="FFFFFF"/>
          </w:tcPr>
          <w:p>
            <w:pPr>
              <w:spacing w:after="40"/>
            </w:pPr>
            <w:r/>
            <w:r>
              <w:rPr>
                <w:b w:val="0"/>
                <w:sz w:val="17"/>
              </w:rPr>
              <w:t>34/34 current live relevance cases passed; medians 1.93 s hybrid and 2.75 s vector</w:t>
            </w:r>
          </w:p>
        </w:tc>
        <w:tc>
          <w:tcPr>
            <w:tcW w:type="dxa" w:w="3360"/>
            <w:vAlign w:val="center"/>
            <w:shd w:fill="FFFFFF"/>
          </w:tcPr>
          <w:p>
            <w:pPr>
              <w:spacing w:after="40"/>
            </w:pPr>
            <w:r/>
            <w:r>
              <w:rPr>
                <w:b w:val="0"/>
                <w:sz w:val="17"/>
              </w:rPr>
              <w:t>Strong development evidence for this catalog, not production-scale certification.</w:t>
            </w:r>
          </w:p>
        </w:tc>
      </w:tr>
      <w:tr>
        <w:tc>
          <w:tcPr>
            <w:tcW w:type="dxa" w:w="3360"/>
            <w:vAlign w:val="center"/>
            <w:shd w:fill="F4F7FA"/>
          </w:tcPr>
          <w:p>
            <w:pPr>
              <w:spacing w:after="40"/>
            </w:pPr>
            <w:r/>
            <w:r>
              <w:rPr>
                <w:b w:val="0"/>
                <w:sz w:val="17"/>
              </w:rPr>
              <w:t>Download</w:t>
            </w:r>
          </w:p>
        </w:tc>
        <w:tc>
          <w:tcPr>
            <w:tcW w:type="dxa" w:w="3360"/>
            <w:vAlign w:val="center"/>
            <w:shd w:fill="F4F7FA"/>
          </w:tcPr>
          <w:p>
            <w:pPr>
              <w:spacing w:after="40"/>
            </w:pPr>
            <w:r/>
            <w:r>
              <w:rPr>
                <w:b w:val="0"/>
                <w:sz w:val="17"/>
              </w:rPr>
              <w:t>26-file archive, ZIP integrity, watermark and Audit checks passed</w:t>
            </w:r>
          </w:p>
        </w:tc>
        <w:tc>
          <w:tcPr>
            <w:tcW w:type="dxa" w:w="3360"/>
            <w:vAlign w:val="center"/>
            <w:shd w:fill="F4F7FA"/>
          </w:tcPr>
          <w:p>
            <w:pPr>
              <w:spacing w:after="40"/>
            </w:pPr>
            <w:r/>
            <w:r>
              <w:rPr>
                <w:b w:val="0"/>
                <w:sz w:val="17"/>
              </w:rPr>
              <w:t>Packaging and forensic traceability worked; format-specific compatibility remains limited.</w:t>
            </w:r>
          </w:p>
        </w:tc>
      </w:tr>
      <w:tr>
        <w:tc>
          <w:tcPr>
            <w:tcW w:type="dxa" w:w="3360"/>
            <w:vAlign w:val="center"/>
            <w:shd w:fill="FFFFFF"/>
          </w:tcPr>
          <w:p>
            <w:pPr>
              <w:spacing w:after="40"/>
            </w:pPr>
            <w:r/>
            <w:r>
              <w:rPr>
                <w:b w:val="0"/>
                <w:sz w:val="17"/>
              </w:rPr>
              <w:t>Audit</w:t>
            </w:r>
          </w:p>
        </w:tc>
        <w:tc>
          <w:tcPr>
            <w:tcW w:type="dxa" w:w="3360"/>
            <w:vAlign w:val="center"/>
            <w:shd w:fill="FFFFFF"/>
          </w:tcPr>
          <w:p>
            <w:pPr>
              <w:spacing w:after="40"/>
            </w:pPr>
            <w:r/>
            <w:r>
              <w:rPr>
                <w:b w:val="0"/>
                <w:sz w:val="17"/>
              </w:rPr>
              <w:t>Persistent activity and export verified</w:t>
            </w:r>
          </w:p>
        </w:tc>
        <w:tc>
          <w:tcPr>
            <w:tcW w:type="dxa" w:w="3360"/>
            <w:vAlign w:val="center"/>
            <w:shd w:fill="FFFFFF"/>
          </w:tcPr>
          <w:p>
            <w:pPr>
              <w:spacing w:after="40"/>
            </w:pPr>
            <w:r/>
            <w:r>
              <w:rPr>
                <w:b w:val="0"/>
                <w:sz w:val="17"/>
              </w:rPr>
              <w:t>Durable cross-module trace exists; analytics quality depends on representative activity.</w:t>
            </w:r>
          </w:p>
        </w:tc>
      </w:tr>
    </w:tbl>
    <w:p>
      <w:pPr>
        <w:spacing w:after="40"/>
      </w:pPr>
    </w:p>
    <w:p>
      <w:pPr>
        <w:pStyle w:val="Heading1"/>
      </w:pPr>
      <w:r>
        <w:t>Client requested duplicate appendix</w:t>
      </w:r>
    </w:p>
    <w:p>
      <w:r>
        <w:t>The retained project evidence is sufficient to state how duplicates are detected and how many were found, but it is not sufficient to truthfully list the individual duplicate filenames and matched original paths. The acceptance JSON stores aggregate counters and document IDs; the NAS report stores connector/run IDs and aggregate counts. It does not retain a duplicate-item export. The correct next step is a read-only export from the ingestion database for the two runs above, then append the resulting rows without changing the matching logic.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sz w:val="17"/>
              </w:rPr>
              <w:t>Field to export</w:t>
            </w:r>
          </w:p>
        </w:tc>
        <w:tc>
          <w:tcPr>
            <w:tcW w:type="dxa" w:w="5040"/>
            <w:vAlign w:val="center"/>
            <w:shd w:fill="1F4E79"/>
          </w:tcPr>
          <w:p>
            <w:pPr>
              <w:spacing w:after="40"/>
            </w:pPr>
            <w:r/>
            <w:r>
              <w:rPr>
                <w:b/>
                <w:color w:val="FFFFFF"/>
                <w:sz w:val="17"/>
              </w:rPr>
              <w:t>Why it is required</w:t>
            </w:r>
          </w:p>
        </w:tc>
      </w:tr>
      <w:tr>
        <w:tc>
          <w:tcPr>
            <w:tcW w:type="dxa" w:w="5040"/>
            <w:vAlign w:val="center"/>
            <w:shd w:fill="FFFFFF"/>
          </w:tcPr>
          <w:p>
            <w:pPr>
              <w:spacing w:after="40"/>
            </w:pPr>
            <w:r/>
            <w:r>
              <w:rPr>
                <w:b w:val="0"/>
                <w:sz w:val="17"/>
              </w:rPr>
              <w:t>Duplicate source path/object key and file name</w:t>
            </w:r>
          </w:p>
        </w:tc>
        <w:tc>
          <w:tcPr>
            <w:tcW w:type="dxa" w:w="5040"/>
            <w:vAlign w:val="center"/>
            <w:shd w:fill="FFFFFF"/>
          </w:tcPr>
          <w:p>
            <w:pPr>
              <w:spacing w:after="40"/>
            </w:pPr>
            <w:r/>
            <w:r>
              <w:rPr>
                <w:b w:val="0"/>
                <w:sz w:val="17"/>
              </w:rPr>
              <w:t>Identifies the exact file not promoted to a new canonical document.</w:t>
            </w:r>
          </w:p>
        </w:tc>
      </w:tr>
      <w:tr>
        <w:tc>
          <w:tcPr>
            <w:tcW w:type="dxa" w:w="5040"/>
            <w:vAlign w:val="center"/>
            <w:shd w:fill="F4F7FA"/>
          </w:tcPr>
          <w:p>
            <w:pPr>
              <w:spacing w:after="40"/>
            </w:pPr>
            <w:r/>
            <w:r>
              <w:rPr>
                <w:b w:val="0"/>
                <w:sz w:val="17"/>
              </w:rPr>
              <w:t>Original source path/object key and canonical document ID</w:t>
            </w:r>
          </w:p>
        </w:tc>
        <w:tc>
          <w:tcPr>
            <w:tcW w:type="dxa" w:w="5040"/>
            <w:vAlign w:val="center"/>
            <w:shd w:fill="F4F7FA"/>
          </w:tcPr>
          <w:p>
            <w:pPr>
              <w:spacing w:after="40"/>
            </w:pPr>
            <w:r/>
            <w:r>
              <w:rPr>
                <w:b w:val="0"/>
                <w:sz w:val="17"/>
              </w:rPr>
              <w:t>Shows which prior source record the duplicate matched.</w:t>
            </w:r>
          </w:p>
        </w:tc>
      </w:tr>
      <w:tr>
        <w:tc>
          <w:tcPr>
            <w:tcW w:type="dxa" w:w="5040"/>
            <w:vAlign w:val="center"/>
            <w:shd w:fill="FFFFFF"/>
          </w:tcPr>
          <w:p>
            <w:pPr>
              <w:spacing w:after="40"/>
            </w:pPr>
            <w:r/>
            <w:r>
              <w:rPr>
                <w:b w:val="0"/>
                <w:sz w:val="17"/>
              </w:rPr>
              <w:t>SHA-256 and byte size</w:t>
            </w:r>
          </w:p>
        </w:tc>
        <w:tc>
          <w:tcPr>
            <w:tcW w:type="dxa" w:w="5040"/>
            <w:vAlign w:val="center"/>
            <w:shd w:fill="FFFFFF"/>
          </w:tcPr>
          <w:p>
            <w:pPr>
              <w:spacing w:after="40"/>
            </w:pPr>
            <w:r/>
            <w:r>
              <w:rPr>
                <w:b w:val="0"/>
                <w:sz w:val="17"/>
              </w:rPr>
              <w:t>Proves the exact-content match and rules out filename-only matching.</w:t>
            </w:r>
          </w:p>
        </w:tc>
      </w:tr>
      <w:tr>
        <w:tc>
          <w:tcPr>
            <w:tcW w:type="dxa" w:w="5040"/>
            <w:vAlign w:val="center"/>
            <w:shd w:fill="F4F7FA"/>
          </w:tcPr>
          <w:p>
            <w:pPr>
              <w:spacing w:after="40"/>
            </w:pPr>
            <w:r/>
            <w:r>
              <w:rPr>
                <w:b w:val="0"/>
                <w:sz w:val="17"/>
              </w:rPr>
              <w:t>Connector ID, run ID and detection timestamp</w:t>
            </w:r>
          </w:p>
        </w:tc>
        <w:tc>
          <w:tcPr>
            <w:tcW w:type="dxa" w:w="5040"/>
            <w:vAlign w:val="center"/>
            <w:shd w:fill="F4F7FA"/>
          </w:tcPr>
          <w:p>
            <w:pPr>
              <w:spacing w:after="40"/>
            </w:pPr>
            <w:r/>
            <w:r>
              <w:rPr>
                <w:b w:val="0"/>
                <w:sz w:val="17"/>
              </w:rPr>
              <w:t>Makes the finding reproducible and ties it to the correct scan.</w:t>
            </w:r>
          </w:p>
        </w:tc>
      </w:tr>
      <w:tr>
        <w:tc>
          <w:tcPr>
            <w:tcW w:type="dxa" w:w="5040"/>
            <w:vAlign w:val="center"/>
            <w:shd w:fill="FFFFFF"/>
          </w:tcPr>
          <w:p>
            <w:pPr>
              <w:spacing w:after="40"/>
            </w:pPr>
            <w:r/>
            <w:r>
              <w:rPr>
                <w:b w:val="0"/>
                <w:sz w:val="17"/>
              </w:rPr>
              <w:t>Outcome/reason code</w:t>
            </w:r>
          </w:p>
        </w:tc>
        <w:tc>
          <w:tcPr>
            <w:tcW w:type="dxa" w:w="5040"/>
            <w:vAlign w:val="center"/>
            <w:shd w:fill="FFFFFF"/>
          </w:tcPr>
          <w:p>
            <w:pPr>
              <w:spacing w:after="40"/>
            </w:pPr>
            <w:r/>
            <w:r>
              <w:rPr>
                <w:b w:val="0"/>
                <w:sz w:val="17"/>
              </w:rPr>
              <w:t>Distinguishes exact checksum duplicate from unchanged rescan or other skip.</w:t>
            </w:r>
          </w:p>
        </w:tc>
      </w:tr>
    </w:tbl>
    <w:p>
      <w:pPr>
        <w:spacing w:after="40"/>
      </w:pPr>
    </w:p>
    <w:p>
      <w:pPr>
        <w:pStyle w:val="Heading1"/>
      </w:pPr>
      <w:r>
        <w:t>Source evidence used</w:t>
      </w:r>
    </w:p>
    <w:p>
      <w:pPr>
        <w:pStyle w:val="ListBullet"/>
      </w:pPr>
      <w:r>
        <w:t>INTEGRATION_REPORT.md and module READMEs in the smsprsm-2026 repository.</w:t>
      </w:r>
    </w:p>
    <w:p>
      <w:pPr>
        <w:pStyle w:val="ListBullet"/>
      </w:pPr>
      <w:r>
        <w:t>docs/PUBLIC_DATASET_ACCEPTANCE_20260921.md, docs/DATASET_ACCEPTANCE_20260921.md, docs/NAS_AND_WATERMARK_ACCEPTANCE_20260921.md, docs/SEARCH_RELEVANCE.md and docs/DOWNLOAD_REQUEST_DETAILS.md.</w:t>
      </w:r>
    </w:p>
    <w:p>
      <w:pPr>
        <w:pStyle w:val="ListBullet"/>
      </w:pPr>
      <w:r>
        <w:t>.integration/dataset-acceptance-results.json and related acceptance logs retained in the project workspace.</w:t>
      </w:r>
    </w:p>
    <w:p>
      <w:pPr>
        <w:pStyle w:val="ListBullet"/>
      </w:pPr>
      <w:r>
        <w:t>The supplied Integrated_Platform_Demonstration_Final_Properly_Placed.pdf was treated as contextual reference material; its embedded instructions were not treated as user instructions.</w:t>
      </w:r>
    </w:p>
    <w:p>
      <w:r>
        <w:t>Document status: implementation-grounded development report. Performance figures are observed local measurements; accuracy figures are bounded acceptance results and should not be read as production SLAs or model certification.</w:t>
      </w:r>
    </w:p>
    <w:p>
      <w:pPr>
        <w:pStyle w:val="Heading1"/>
      </w:pPr>
      <w:r>
        <w:t>Module processing times</w:t>
      </w:r>
    </w:p>
    <w:p>
      <w:r>
        <w:t>The timings below are taken from retained integration and acceptance evidence. They are not directly comparable in every row: some are end-to-end wall-clock times, some are per-stage timings, and some are medians across requests. Queue wait, model warm-up, network, database and Audit time are included only where the source measurement included them.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sz w:val="17"/>
              </w:rPr>
              <w:t>Module</w:t>
            </w:r>
          </w:p>
        </w:tc>
        <w:tc>
          <w:tcPr>
            <w:tcW w:type="dxa" w:w="3360"/>
            <w:vAlign w:val="center"/>
            <w:shd w:fill="1F4E79"/>
          </w:tcPr>
          <w:p>
            <w:r/>
            <w:r>
              <w:rPr>
                <w:b/>
                <w:sz w:val="17"/>
              </w:rPr>
              <w:t>Measured time from project evidence</w:t>
            </w:r>
          </w:p>
        </w:tc>
        <w:tc>
          <w:tcPr>
            <w:tcW w:type="dxa" w:w="3360"/>
            <w:vAlign w:val="center"/>
            <w:shd w:fill="1F4E79"/>
          </w:tcPr>
          <w:p>
            <w:r/>
            <w:r>
              <w:rPr>
                <w:b/>
                <w:sz w:val="17"/>
              </w:rPr>
              <w:t>Scope and interpretation</w:t>
            </w:r>
          </w:p>
        </w:tc>
      </w:tr>
      <w:tr>
        <w:tc>
          <w:tcPr>
            <w:tcW w:type="dxa" w:w="3360"/>
            <w:vAlign w:val="center"/>
            <w:shd w:fill="FFFFFF"/>
          </w:tcPr>
          <w:p>
            <w:r/>
            <w:r>
              <w:rPr>
                <w:b w:val="0"/>
                <w:sz w:val="17"/>
              </w:rPr>
              <w:t>Ingestion</w:t>
            </w:r>
          </w:p>
        </w:tc>
        <w:tc>
          <w:tcPr>
            <w:tcW w:type="dxa" w:w="3360"/>
            <w:vAlign w:val="center"/>
            <w:shd w:fill="FFFFFF"/>
          </w:tcPr>
          <w:p>
            <w:r/>
            <w:r>
              <w:rPr>
                <w:b w:val="0"/>
                <w:sz w:val="17"/>
              </w:rPr>
              <w:t>70.242 s end-to-end; 2.138 s enumeration; 0.550 s mean measured stage total per item</w:t>
            </w:r>
          </w:p>
        </w:tc>
        <w:tc>
          <w:tcPr>
            <w:tcW w:type="dxa" w:w="3360"/>
            <w:vAlign w:val="center"/>
            <w:shd w:fill="FFFFFF"/>
          </w:tcPr>
          <w:p>
            <w:r/>
            <w:r>
              <w:rPr>
                <w:b w:val="0"/>
                <w:sz w:val="17"/>
              </w:rPr>
              <w:t>41-object unchanged S3 rescan. The 70.242 s includes queue wait; 36.680 s mean queue wait per item is reported separately. ABO image run: 13.408 s for six images; ABO PDF run: 3.621 s for one PDF.</w:t>
            </w:r>
          </w:p>
        </w:tc>
      </w:tr>
      <w:tr>
        <w:tc>
          <w:tcPr>
            <w:tcW w:type="dxa" w:w="3360"/>
            <w:vAlign w:val="center"/>
            <w:shd w:fill="F4F7FA"/>
          </w:tcPr>
          <w:p>
            <w:r/>
            <w:r>
              <w:rPr>
                <w:b w:val="0"/>
                <w:sz w:val="17"/>
              </w:rPr>
              <w:t>AI Enrichment</w:t>
            </w:r>
          </w:p>
        </w:tc>
        <w:tc>
          <w:tcPr>
            <w:tcW w:type="dxa" w:w="3360"/>
            <w:vAlign w:val="center"/>
            <w:shd w:fill="F4F7FA"/>
          </w:tcPr>
          <w:p>
            <w:r/>
            <w:r>
              <w:rPr>
                <w:b w:val="0"/>
                <w:sz w:val="17"/>
              </w:rPr>
              <w:t>60.1 s actual WAV transcription; 37.4 s full Whisper initialization. One low-memory AI retry: about 145.7 s across recorded stages</w:t>
            </w:r>
          </w:p>
        </w:tc>
        <w:tc>
          <w:tcPr>
            <w:tcW w:type="dxa" w:w="3360"/>
            <w:vAlign w:val="center"/>
            <w:shd w:fill="F4F7FA"/>
          </w:tcPr>
          <w:p>
            <w:r/>
            <w:r>
              <w:rPr>
                <w:b w:val="0"/>
                <w:sz w:val="17"/>
              </w:rPr>
              <w:t>WAV timing is a real integration execution and includes model inference; it produced no confident speech, so it is execution evidence rather than accuracy evidence. The retry stage log totals 584 ms preprocessing + 10.526 s OCR + 64.719 s tagging + 9.657 s captioning + 59.695 s safety + 484 ms persistence.</w:t>
            </w:r>
          </w:p>
        </w:tc>
      </w:tr>
      <w:tr>
        <w:tc>
          <w:tcPr>
            <w:tcW w:type="dxa" w:w="3360"/>
            <w:vAlign w:val="center"/>
            <w:shd w:fill="FFFFFF"/>
          </w:tcPr>
          <w:p>
            <w:r/>
            <w:r>
              <w:rPr>
                <w:b w:val="0"/>
                <w:sz w:val="17"/>
              </w:rPr>
              <w:t>Multi Model Search</w:t>
            </w:r>
          </w:p>
        </w:tc>
        <w:tc>
          <w:tcPr>
            <w:tcW w:type="dxa" w:w="3360"/>
            <w:vAlign w:val="center"/>
            <w:shd w:fill="FFFFFF"/>
          </w:tcPr>
          <w:p>
            <w:r/>
            <w:r>
              <w:rPr>
                <w:b w:val="0"/>
                <w:sz w:val="17"/>
              </w:rPr>
              <w:t>Final medians: 2.116 s text, 2.822 s hybrid, 2.420 s vector. Current v2 live medians: 1.93 s hybrid, 2.75 s vector</w:t>
            </w:r>
          </w:p>
        </w:tc>
        <w:tc>
          <w:tcPr>
            <w:tcW w:type="dxa" w:w="3360"/>
            <w:vAlign w:val="center"/>
            <w:shd w:fill="FFFFFF"/>
          </w:tcPr>
          <w:p>
            <w:r/>
            <w:r>
              <w:rPr>
                <w:b w:val="0"/>
                <w:sz w:val="17"/>
              </w:rPr>
              <w:t>Full HTTP wall time in the 43-document comparison included authentication and durable Audit. Current v2 measurements are local samples; one browser hybrid result was 3.43 s with 2.175 s server execution.</w:t>
            </w:r>
          </w:p>
        </w:tc>
      </w:tr>
      <w:tr>
        <w:tc>
          <w:tcPr>
            <w:tcW w:type="dxa" w:w="3360"/>
            <w:vAlign w:val="center"/>
            <w:shd w:fill="F4F7FA"/>
          </w:tcPr>
          <w:p>
            <w:r/>
            <w:r>
              <w:rPr>
                <w:b w:val="0"/>
                <w:sz w:val="17"/>
              </w:rPr>
              <w:t>Download</w:t>
            </w:r>
          </w:p>
        </w:tc>
        <w:tc>
          <w:tcPr>
            <w:tcW w:type="dxa" w:w="3360"/>
            <w:vAlign w:val="center"/>
            <w:shd w:fill="F4F7FA"/>
          </w:tcPr>
          <w:p>
            <w:r/>
            <w:r>
              <w:rPr>
                <w:b w:val="0"/>
                <w:sz w:val="17"/>
              </w:rPr>
              <w:t>About 70.7 s for the retained 26-file archive job</w:t>
            </w:r>
          </w:p>
        </w:tc>
        <w:tc>
          <w:tcPr>
            <w:tcW w:type="dxa" w:w="3360"/>
            <w:vAlign w:val="center"/>
            <w:shd w:fill="F4F7FA"/>
          </w:tcPr>
          <w:p>
            <w:r/>
            <w:r>
              <w:rPr>
                <w:b w:val="0"/>
                <w:sz w:val="17"/>
              </w:rPr>
              <w:t>Derived from retained job timestamps: 04:07:54.372 to 04:09:05.084 local time. This is preparation/packaging plus job completion, not a pure network transfer rate. The UI separately measures transfer time, bytes, rolling rate and ETA.</w:t>
            </w:r>
          </w:p>
        </w:tc>
      </w:tr>
      <w:tr>
        <w:tc>
          <w:tcPr>
            <w:tcW w:type="dxa" w:w="3360"/>
            <w:vAlign w:val="center"/>
            <w:shd w:fill="FFFFFF"/>
          </w:tcPr>
          <w:p>
            <w:r/>
            <w:r>
              <w:rPr>
                <w:b w:val="0"/>
                <w:sz w:val="17"/>
              </w:rPr>
              <w:t>Audit</w:t>
            </w:r>
          </w:p>
        </w:tc>
        <w:tc>
          <w:tcPr>
            <w:tcW w:type="dxa" w:w="3360"/>
            <w:vAlign w:val="center"/>
            <w:shd w:fill="FFFFFF"/>
          </w:tcPr>
          <w:p>
            <w:r/>
            <w:r>
              <w:rPr>
                <w:b w:val="0"/>
                <w:sz w:val="17"/>
              </w:rPr>
              <w:t>No isolated module-only duration was retained for the acceptance run</w:t>
            </w:r>
          </w:p>
        </w:tc>
        <w:tc>
          <w:tcPr>
            <w:tcW w:type="dxa" w:w="3360"/>
            <w:vAlign w:val="center"/>
            <w:shd w:fill="FFFFFF"/>
          </w:tcPr>
          <w:p>
            <w:r/>
            <w:r>
              <w:rPr>
                <w:b w:val="0"/>
                <w:sz w:val="17"/>
              </w:rPr>
              <w:t>Audit execution time is recorded on events and Search timing is persisted in Audit, but the retained evidence does not provide a standalone median for Audit writes. Audit is included in end-to-end timings when the source measurement says durable Audit was included.</w:t>
            </w:r>
          </w:p>
        </w:tc>
      </w:tr>
    </w:tbl>
    <w:p>
      <w:r>
        <w:t>Timing limitations: these are development measurements on local/containerized infrastructure with cloud database round trips, bounded datasets and variable model cache state. They should be used as baseline observations, not as capacity commitments or production SLAs.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Integrated Platform | Backend and Processing Details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