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50"/>
          <w:sz w:val="48"/>
        </w:rPr>
        <w:t>REINFORCEMENT LEARNING</w:t>
        <w:br/>
        <w:t>ASSIGNMENT 1</w:t>
      </w:r>
    </w:p>
    <w:p>
      <w:pPr>
        <w:jc w:val="center"/>
      </w:pPr>
      <w:r>
        <w:rPr>
          <w:b/>
          <w:sz w:val="30"/>
        </w:rPr>
        <w:t>Markov Decision Processes — 4×4 Frozen Lake</w:t>
      </w:r>
    </w:p>
    <w:p>
      <w:pPr>
        <w:jc w:val="center"/>
      </w:pPr>
      <w:r>
        <w:rPr>
          <w:sz w:val="24"/>
        </w:rPr>
        <w:t>Submitted by: Kavya Namburi</w:t>
        <w:br/>
        <w:t>Roll Number: BT23CSE004</w:t>
        <w:br/>
      </w:r>
    </w:p>
    <w:p>
      <w:pPr>
        <w:jc w:val="center"/>
      </w:pPr>
      <w:r>
        <w:t>Includes Parts 1–5, implementation details, convergence plot, and numerical verification.</w:t>
      </w:r>
    </w:p>
    <w:p>
      <w:r>
        <w:br w:type="page"/>
      </w:r>
    </w:p>
    <w:p>
      <w:pPr>
        <w:pStyle w:val="Heading1"/>
      </w:pPr>
      <w:r>
        <w:t>Executive Summary</w:t>
      </w:r>
    </w:p>
    <w:p>
      <w:r>
        <w:t>This report formulates and solves a 4×4 Frozen Lake Markov Decision Process. It evaluates a uniform random policy using synchronous iterative updates, computes action values, finds an optimal policy with policy iteration and value iteration, verifies fixed-policy evaluation with a linear system, and studies changes to the discount factor and living reward.</w:t>
      </w:r>
    </w:p>
    <w:p>
      <w:r>
        <w:t>Model clarification: the assignment states that the intended movement occurs with probability 0.25 but does not specify the remaining probability. To make the transition model complete, this report assumes that the remaining 0.75 probability corresponds to staying in the current cell. This is an explicit modelling assumption, not a rule stated in the handout.</w:t>
      </w:r>
    </w:p>
    <w:p>
      <w:pPr>
        <w:pStyle w:val="Heading1"/>
      </w:pPr>
      <w:r>
        <w:t>Fixed Environment</w:t>
      </w:r>
    </w:p>
    <w:p>
      <w:pPr>
        <w:spacing w:after="40"/>
        <w:ind w:left="288"/>
      </w:pPr>
      <w:r>
        <w:rPr>
          <w:rFonts w:ascii="Consolas" w:hAnsi="Consolas"/>
          <w:sz w:val="18"/>
        </w:rPr>
        <w:t>S H F F</w:t>
        <w:br/>
        <w:t>F F F H</w:t>
        <w:br/>
        <w:t>H F F F</w:t>
        <w:br/>
        <w:t>F F H G</w:t>
      </w:r>
    </w:p>
    <w:p>
      <w:pPr>
        <w:spacing w:after="40"/>
        <w:ind w:left="288"/>
      </w:pPr>
      <w:r>
        <w:rPr>
          <w:rFonts w:ascii="Consolas" w:hAnsi="Consolas"/>
          <w:sz w:val="18"/>
        </w:rPr>
        <w:t>State numbering:</w:t>
        <w:br/>
        <w:t>0  1  2  3</w:t>
        <w:br/>
        <w:t>4  5  6  7</w:t>
        <w:br/>
        <w:t>8  9 10 11</w:t>
        <w:br/>
        <w:t>12 13 14 15</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sz w:val="18"/>
              </w:rPr>
              <w:t>Item</w:t>
            </w:r>
          </w:p>
        </w:tc>
        <w:tc>
          <w:tcPr>
            <w:tcW w:type="dxa" w:w="5040"/>
          </w:tcPr>
          <w:p>
            <w:r>
              <w:rPr>
                <w:b/>
                <w:sz w:val="18"/>
              </w:rPr>
              <w:t>Definition</w:t>
            </w:r>
          </w:p>
        </w:tc>
      </w:tr>
      <w:tr>
        <w:tc>
          <w:tcPr>
            <w:tcW w:type="dxa" w:w="5040"/>
            <w:vAlign w:val="center"/>
          </w:tcPr>
          <w:p>
            <w:r>
              <w:rPr>
                <w:sz w:val="18"/>
              </w:rPr>
              <w:t>State space</w:t>
            </w:r>
          </w:p>
        </w:tc>
        <w:tc>
          <w:tcPr>
            <w:tcW w:type="dxa" w:w="5040"/>
            <w:vAlign w:val="center"/>
          </w:tcPr>
          <w:p>
            <w:r>
              <w:rPr>
                <w:sz w:val="18"/>
              </w:rPr>
              <w:t>S = {0, 1, ..., 15}</w:t>
            </w:r>
          </w:p>
        </w:tc>
      </w:tr>
      <w:tr>
        <w:tc>
          <w:tcPr>
            <w:tcW w:type="dxa" w:w="5040"/>
            <w:vAlign w:val="center"/>
          </w:tcPr>
          <w:p>
            <w:r>
              <w:rPr>
                <w:sz w:val="18"/>
              </w:rPr>
              <w:t>Start state</w:t>
            </w:r>
          </w:p>
        </w:tc>
        <w:tc>
          <w:tcPr>
            <w:tcW w:type="dxa" w:w="5040"/>
            <w:vAlign w:val="center"/>
          </w:tcPr>
          <w:p>
            <w:r>
              <w:rPr>
                <w:sz w:val="18"/>
              </w:rPr>
              <w:t>0</w:t>
            </w:r>
          </w:p>
        </w:tc>
      </w:tr>
      <w:tr>
        <w:tc>
          <w:tcPr>
            <w:tcW w:type="dxa" w:w="5040"/>
            <w:vAlign w:val="center"/>
          </w:tcPr>
          <w:p>
            <w:r>
              <w:rPr>
                <w:sz w:val="18"/>
              </w:rPr>
              <w:t>Holes</w:t>
            </w:r>
          </w:p>
        </w:tc>
        <w:tc>
          <w:tcPr>
            <w:tcW w:type="dxa" w:w="5040"/>
            <w:vAlign w:val="center"/>
          </w:tcPr>
          <w:p>
            <w:r>
              <w:rPr>
                <w:sz w:val="18"/>
              </w:rPr>
              <w:t>{1, 7, 8, 14}</w:t>
            </w:r>
          </w:p>
        </w:tc>
      </w:tr>
      <w:tr>
        <w:tc>
          <w:tcPr>
            <w:tcW w:type="dxa" w:w="5040"/>
            <w:vAlign w:val="center"/>
          </w:tcPr>
          <w:p>
            <w:r>
              <w:rPr>
                <w:sz w:val="18"/>
              </w:rPr>
              <w:t>Goal</w:t>
            </w:r>
          </w:p>
        </w:tc>
        <w:tc>
          <w:tcPr>
            <w:tcW w:type="dxa" w:w="5040"/>
            <w:vAlign w:val="center"/>
          </w:tcPr>
          <w:p>
            <w:r>
              <w:rPr>
                <w:sz w:val="18"/>
              </w:rPr>
              <w:t>15</w:t>
            </w:r>
          </w:p>
        </w:tc>
      </w:tr>
      <w:tr>
        <w:tc>
          <w:tcPr>
            <w:tcW w:type="dxa" w:w="5040"/>
            <w:vAlign w:val="center"/>
          </w:tcPr>
          <w:p>
            <w:r>
              <w:rPr>
                <w:sz w:val="18"/>
              </w:rPr>
              <w:t>Actions</w:t>
            </w:r>
          </w:p>
        </w:tc>
        <w:tc>
          <w:tcPr>
            <w:tcW w:type="dxa" w:w="5040"/>
            <w:vAlign w:val="center"/>
          </w:tcPr>
          <w:p>
            <w:r>
              <w:rPr>
                <w:sz w:val="18"/>
              </w:rPr>
              <w:t>{Left, Down, Right, Up}</w:t>
            </w:r>
          </w:p>
        </w:tc>
      </w:tr>
      <w:tr>
        <w:tc>
          <w:tcPr>
            <w:tcW w:type="dxa" w:w="5040"/>
            <w:vAlign w:val="center"/>
          </w:tcPr>
          <w:p>
            <w:r>
              <w:rPr>
                <w:sz w:val="18"/>
              </w:rPr>
              <w:t>Transition assumption</w:t>
            </w:r>
          </w:p>
        </w:tc>
        <w:tc>
          <w:tcPr>
            <w:tcW w:type="dxa" w:w="5040"/>
            <w:vAlign w:val="center"/>
          </w:tcPr>
          <w:p>
            <w:r>
              <w:rPr>
                <w:sz w:val="18"/>
              </w:rPr>
              <w:t>0.25 intended movement; 0.75 stay; boundary movement remains in place</w:t>
            </w:r>
          </w:p>
        </w:tc>
      </w:tr>
      <w:tr>
        <w:tc>
          <w:tcPr>
            <w:tcW w:type="dxa" w:w="5040"/>
            <w:vAlign w:val="center"/>
          </w:tcPr>
          <w:p>
            <w:r>
              <w:rPr>
                <w:sz w:val="18"/>
              </w:rPr>
              <w:t>Rewards</w:t>
            </w:r>
          </w:p>
        </w:tc>
        <w:tc>
          <w:tcPr>
            <w:tcW w:type="dxa" w:w="5040"/>
            <w:vAlign w:val="center"/>
          </w:tcPr>
          <w:p>
            <w:r>
              <w:rPr>
                <w:sz w:val="18"/>
              </w:rPr>
              <w:t>−0.01 normal step/stay; −1 entering a hole; +1 entering the goal</w:t>
            </w:r>
          </w:p>
        </w:tc>
      </w:tr>
      <w:tr>
        <w:tc>
          <w:tcPr>
            <w:tcW w:type="dxa" w:w="5040"/>
            <w:vAlign w:val="center"/>
          </w:tcPr>
          <w:p>
            <w:r>
              <w:rPr>
                <w:sz w:val="18"/>
              </w:rPr>
              <w:t>Terminal states</w:t>
            </w:r>
          </w:p>
        </w:tc>
        <w:tc>
          <w:tcPr>
            <w:tcW w:type="dxa" w:w="5040"/>
            <w:vAlign w:val="center"/>
          </w:tcPr>
          <w:p>
            <w:r>
              <w:rPr>
                <w:sz w:val="18"/>
              </w:rPr>
              <w:t>{1, 7, 8, 14, 15}; future value represented as 0</w:t>
            </w:r>
          </w:p>
        </w:tc>
      </w:tr>
      <w:tr>
        <w:tc>
          <w:tcPr>
            <w:tcW w:type="dxa" w:w="5040"/>
            <w:vAlign w:val="center"/>
          </w:tcPr>
          <w:p>
            <w:r>
              <w:rPr>
                <w:sz w:val="18"/>
              </w:rPr>
              <w:t>Discount factor</w:t>
            </w:r>
          </w:p>
        </w:tc>
        <w:tc>
          <w:tcPr>
            <w:tcW w:type="dxa" w:w="5040"/>
            <w:vAlign w:val="center"/>
          </w:tcPr>
          <w:p>
            <w:r>
              <w:rPr>
                <w:sz w:val="18"/>
              </w:rPr>
              <w:t>γ = 0.9</w:t>
            </w:r>
          </w:p>
        </w:tc>
      </w:tr>
    </w:tbl>
    <w:p>
      <w:pPr>
        <w:pStyle w:val="Heading1"/>
      </w:pPr>
      <w:r>
        <w:t>Part 1 — Problem Setup</w:t>
      </w:r>
    </w:p>
    <w:p>
      <w:pPr>
        <w:pStyle w:val="Heading2"/>
      </w:pPr>
      <w:r>
        <w:t>1.1 MDP tuple</w:t>
      </w:r>
    </w:p>
    <w:p>
      <w:r>
        <w:t>The environment is represented by M = (S, A, P, R, γ).</w:t>
      </w:r>
    </w:p>
    <w:p>
      <w:pPr>
        <w:pStyle w:val="ListBullet"/>
      </w:pPr>
      <w:r>
        <w:t>S = {0, 1, ..., 15}: the 16 grid cells numbered row-wise.</w:t>
      </w:r>
    </w:p>
    <w:p>
      <w:pPr>
        <w:pStyle w:val="ListBullet"/>
      </w:pPr>
      <w:r>
        <w:t>A = {Left, Down, Right, Up}: the four actions.</w:t>
      </w:r>
    </w:p>
    <w:p>
      <w:pPr>
        <w:pStyle w:val="ListBullet"/>
      </w:pPr>
      <w:r>
        <w:t>P(s′|s,a): for a non-terminal state, the intended move has probability 0.25 and staying has probability 0.75. If the intended move hits the boundary, the agent remains in the current cell.</w:t>
      </w:r>
    </w:p>
    <w:p>
      <w:pPr>
        <w:pStyle w:val="ListBullet"/>
      </w:pPr>
      <w:r>
        <w:t>R(s,a,s′): +1 when entering the goal, −1 when entering a hole, and −0.01 for an ordinary transition including staying.</w:t>
      </w:r>
    </w:p>
    <w:p>
      <w:pPr>
        <w:pStyle w:val="ListBullet"/>
      </w:pPr>
      <w:r>
        <w:t>γ = 0.9: the discount factor.</w:t>
      </w:r>
    </w:p>
    <w:p>
      <w:pPr>
        <w:pStyle w:val="Heading2"/>
      </w:pPr>
      <w:r>
        <w:t>1.2 Is the MDP finite, episodic, and fully observed?</w:t>
      </w:r>
    </w:p>
    <w:p>
      <w:pPr>
        <w:pStyle w:val="ListBullet"/>
      </w:pPr>
      <w:r>
        <w:t>Finite — Yes. There are 16 states and four actions, so both sets are finite.</w:t>
      </w:r>
    </w:p>
    <w:p>
      <w:pPr>
        <w:pStyle w:val="ListBullet"/>
      </w:pPr>
      <w:r>
        <w:t>Episodic — Yes, under the terminal-state convention. An episode ends when a hole or the goal is entered. Staying in a non-terminal state can delay termination.</w:t>
      </w:r>
    </w:p>
    <w:p>
      <w:pPr>
        <w:pStyle w:val="ListBullet"/>
      </w:pPr>
      <w:r>
        <w:t>Fully observed — Yes. The agent's current grid cell is known directly; there is no hidden state.</w:t>
      </w:r>
    </w:p>
    <w:p>
      <w:pPr>
        <w:pStyle w:val="Heading1"/>
      </w:pPr>
      <w:r>
        <w:t>Part 2 — Policy Evaluation</w:t>
      </w:r>
    </w:p>
    <w:p>
      <w:pPr>
        <w:pStyle w:val="Heading2"/>
      </w:pPr>
      <w:r>
        <w:t>2.1 Uniform random policy</w:t>
      </w:r>
    </w:p>
    <w:p>
      <w:r>
        <w:t>The policy is π(a|s) = 0.25 for each of the four actions in every non-terminal state.</w:t>
      </w:r>
    </w:p>
    <w:p>
      <w:pPr>
        <w:pStyle w:val="Heading2"/>
      </w:pPr>
      <w:r>
        <w:t>2.2 Bellman expectation equation</w:t>
      </w:r>
    </w:p>
    <w:p>
      <w:pPr>
        <w:spacing w:after="40"/>
        <w:ind w:left="288"/>
      </w:pPr>
      <w:r>
        <w:rPr>
          <w:rFonts w:ascii="Consolas" w:hAnsi="Consolas"/>
          <w:sz w:val="18"/>
        </w:rPr>
        <w:t>Vπ(s) = Σa π(a|s) Σs′ P(s′|s,a) [R(s,a,s′) + γ Vπ(s′)]</w:t>
      </w:r>
    </w:p>
    <w:p>
      <w:r>
        <w:t>For iterative evaluation, use the old value vector to compute the new vector synchronously:</w:t>
      </w:r>
    </w:p>
    <w:p>
      <w:pPr>
        <w:spacing w:after="40"/>
        <w:ind w:left="288"/>
      </w:pPr>
      <w:r>
        <w:rPr>
          <w:rFonts w:ascii="Consolas" w:hAnsi="Consolas"/>
          <w:sz w:val="18"/>
        </w:rPr>
        <w:t>V_{k+1}(s) = Σa π(a|s) Σs′ P(s′|s,a) [R(s,a,s′) + γ V_k(s′)]</w:t>
      </w:r>
    </w:p>
    <w:p>
      <w:r>
        <w:t>Initialize V₀(s)=0. After each sweep calculate Δ = max_s |V_new(s) − V(s)|, replace V with V_new, and stop when Δ &lt; 10⁻⁸. One sweep updates all non-terminal states once.</w:t>
      </w:r>
    </w:p>
    <w:p>
      <w:pPr>
        <w:pStyle w:val="Heading2"/>
      </w:pPr>
      <w:r>
        <w:t>2.3 Manual first two iterations for state 2</w:t>
      </w:r>
    </w:p>
    <w:p>
      <w:r>
        <w:t>State 2 is immediately to the right of hole 1. At iteration zero, all values are zero.</w:t>
      </w:r>
    </w:p>
    <w:p>
      <w:r>
        <w:t>For Left, the intended move enters hole 1 with probability 0.25, receiving −1; with probability 0.75 the agent stays at state 2, receiving −0.01. Thus Q₀(2,Left)=0.25(−1)+0.75(−0.01)=−0.2575. Down and Right have expected immediate reward −0.01. Up hits the top boundary and remains in state 2, giving −0.01.</w:t>
      </w:r>
    </w:p>
    <w:p>
      <w:pPr>
        <w:spacing w:after="40"/>
        <w:ind w:left="288"/>
      </w:pPr>
      <w:r>
        <w:rPr>
          <w:rFonts w:ascii="Consolas" w:hAnsi="Consolas"/>
          <w:sz w:val="18"/>
        </w:rPr>
        <w:t>V₁(2) = 0.25[−0.2575 − 0.01 − 0.01 − 0.01] = −0.071875</w:t>
      </w:r>
    </w:p>
    <w:p>
      <w:r>
        <w:t>Using V₁(2)=V₁(3)=V₁(6)=−0.071875 and V₁(1)=0:</w:t>
      </w:r>
    </w:p>
    <w:p>
      <w:pPr>
        <w:spacing w:after="40"/>
        <w:ind w:left="288"/>
      </w:pPr>
      <w:r>
        <w:rPr>
          <w:rFonts w:ascii="Consolas" w:hAnsi="Consolas"/>
          <w:sz w:val="18"/>
        </w:rPr>
        <w:t>Q₁(2,Left) = 0.25(−1 + 0.9·0) + 0.75[−0.01 + 0.9(−0.071875)]</w:t>
      </w:r>
    </w:p>
    <w:p>
      <w:pPr>
        <w:spacing w:after="40"/>
        <w:ind w:left="288"/>
      </w:pPr>
      <w:r>
        <w:rPr>
          <w:rFonts w:ascii="Consolas" w:hAnsi="Consolas"/>
          <w:sz w:val="18"/>
        </w:rPr>
        <w:t xml:space="preserve">             = −0.306015625</w:t>
      </w:r>
    </w:p>
    <w:p>
      <w:pPr>
        <w:spacing w:after="40"/>
        <w:ind w:left="288"/>
      </w:pPr>
      <w:r>
        <w:rPr>
          <w:rFonts w:ascii="Consolas" w:hAnsi="Consolas"/>
          <w:sz w:val="18"/>
        </w:rPr>
        <w:t>Q₁(2,Down) = Q₁(2,Right) = Q₁(2,Up) = −0.0746875</w:t>
      </w:r>
    </w:p>
    <w:p>
      <w:pPr>
        <w:spacing w:after="40"/>
        <w:ind w:left="288"/>
      </w:pPr>
      <w:r>
        <w:rPr>
          <w:rFonts w:ascii="Consolas" w:hAnsi="Consolas"/>
          <w:sz w:val="18"/>
        </w:rPr>
        <w:t>V₂(2) = 0.25[−0.306015625 − 3(0.0746875)] = −0.13251953125</w:t>
      </w:r>
    </w:p>
    <w:p>
      <w:r>
        <w:t>These values provide a manual check for the implementation.</w:t>
      </w:r>
    </w:p>
    <w:p>
      <w:pPr>
        <w:pStyle w:val="Heading2"/>
      </w:pPr>
      <w:r>
        <w:t>2.4 Converged value function</w:t>
      </w:r>
    </w:p>
    <w:p>
      <w:r>
        <w:t>With γ=0.9, θ=10⁻⁸, synchronous updates, and the stated transition model, iterative evaluation converges in 94 sweeps.</w:t>
      </w:r>
    </w:p>
    <w:p>
      <w:pPr>
        <w:spacing w:after="40"/>
        <w:ind w:left="288"/>
      </w:pPr>
      <w:r>
        <w:rPr>
          <w:rFonts w:ascii="Consolas" w:hAnsi="Consolas"/>
          <w:sz w:val="18"/>
        </w:rPr>
        <w:t>-0.459740   0.000000  -0.457276  -0.459279</w:t>
      </w:r>
    </w:p>
    <w:p>
      <w:pPr>
        <w:spacing w:after="40"/>
        <w:ind w:left="288"/>
      </w:pPr>
      <w:r>
        <w:rPr>
          <w:rFonts w:ascii="Consolas" w:hAnsi="Consolas"/>
          <w:sz w:val="18"/>
        </w:rPr>
        <w:t>-0.459019  -0.455574  -0.447705   0.000000</w:t>
      </w:r>
    </w:p>
    <w:p>
      <w:pPr>
        <w:spacing w:after="40"/>
        <w:ind w:left="288"/>
      </w:pPr>
      <w:r>
        <w:rPr>
          <w:rFonts w:ascii="Consolas" w:hAnsi="Consolas"/>
          <w:sz w:val="18"/>
        </w:rPr>
        <w:t xml:space="preserve"> 0.000000  -0.447705  -0.396113  -0.115466</w:t>
      </w:r>
    </w:p>
    <w:p>
      <w:pPr>
        <w:spacing w:after="40"/>
        <w:ind w:left="288"/>
      </w:pPr>
      <w:r>
        <w:rPr>
          <w:rFonts w:ascii="Consolas" w:hAnsi="Consolas"/>
          <w:sz w:val="18"/>
        </w:rPr>
        <w:t>-0.459279  -0.457276   0.000000   0.000000</w:t>
      </w:r>
    </w:p>
    <w:p>
      <w:pPr>
        <w:pStyle w:val="Heading2"/>
      </w:pPr>
      <w:r>
        <w:t>2.5 Convergence plot</w:t>
      </w:r>
    </w:p>
    <w:p>
      <w:r>
        <w:t>The plot shows ||V_{k+1}−V_k||∞ versus sweep on a logarithmic y-axis. At sweep 94, the maximum change is below 10⁻⁸.</w:t>
      </w:r>
    </w:p>
    <w:p>
      <w:pPr>
        <w:jc w:val="center"/>
      </w:pPr>
      <w:r>
        <w:drawing>
          <wp:inline xmlns:a="http://schemas.openxmlformats.org/drawingml/2006/main" xmlns:pic="http://schemas.openxmlformats.org/drawingml/2006/picture">
            <wp:extent cx="5852160" cy="3427555"/>
            <wp:docPr id="1" name="Picture 1"/>
            <wp:cNvGraphicFramePr>
              <a:graphicFrameLocks noChangeAspect="1"/>
            </wp:cNvGraphicFramePr>
            <a:graphic>
              <a:graphicData uri="http://schemas.openxmlformats.org/drawingml/2006/picture">
                <pic:pic>
                  <pic:nvPicPr>
                    <pic:cNvPr id="0" name="RL_Assignment1_Convergence_Plot.png"/>
                    <pic:cNvPicPr/>
                  </pic:nvPicPr>
                  <pic:blipFill>
                    <a:blip r:embed="rId9"/>
                    <a:stretch>
                      <a:fillRect/>
                    </a:stretch>
                  </pic:blipFill>
                  <pic:spPr>
                    <a:xfrm>
                      <a:off x="0" y="0"/>
                      <a:ext cx="5852160" cy="3427555"/>
                    </a:xfrm>
                    <a:prstGeom prst="rect"/>
                  </pic:spPr>
                </pic:pic>
              </a:graphicData>
            </a:graphic>
          </wp:inline>
        </w:drawing>
      </w:r>
    </w:p>
    <w:p>
      <w:pPr>
        <w:pStyle w:val="Heading2"/>
      </w:pPr>
      <w:r>
        <w:t>2.6 Action-value function Qπ(s,a)</w:t>
      </w:r>
    </w:p>
    <w:p>
      <w:r>
        <w:t>After obtaining the converged Vπ, calculate Qπ(s,a)=Σs′P(s′|s,a)[R(s,a,s′)+γVπ(s′)]. The following table lists all state-action pairs in the order Left, Down, Right, Up. Terminal rows are displayed as zero by convention.</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6"/>
              </w:rPr>
              <w:t>State</w:t>
            </w:r>
          </w:p>
        </w:tc>
        <w:tc>
          <w:tcPr>
            <w:tcW w:type="dxa" w:w="1680"/>
          </w:tcPr>
          <w:p>
            <w:r>
              <w:rPr>
                <w:b/>
                <w:sz w:val="16"/>
              </w:rPr>
              <w:t>Type</w:t>
            </w:r>
          </w:p>
        </w:tc>
        <w:tc>
          <w:tcPr>
            <w:tcW w:type="dxa" w:w="1680"/>
          </w:tcPr>
          <w:p>
            <w:r>
              <w:rPr>
                <w:b/>
                <w:sz w:val="16"/>
              </w:rPr>
              <w:t>Left</w:t>
            </w:r>
          </w:p>
        </w:tc>
        <w:tc>
          <w:tcPr>
            <w:tcW w:type="dxa" w:w="1680"/>
          </w:tcPr>
          <w:p>
            <w:r>
              <w:rPr>
                <w:b/>
                <w:sz w:val="16"/>
              </w:rPr>
              <w:t>Down</w:t>
            </w:r>
          </w:p>
        </w:tc>
        <w:tc>
          <w:tcPr>
            <w:tcW w:type="dxa" w:w="1680"/>
          </w:tcPr>
          <w:p>
            <w:r>
              <w:rPr>
                <w:b/>
                <w:sz w:val="16"/>
              </w:rPr>
              <w:t>Right</w:t>
            </w:r>
          </w:p>
        </w:tc>
        <w:tc>
          <w:tcPr>
            <w:tcW w:type="dxa" w:w="1680"/>
          </w:tcPr>
          <w:p>
            <w:r>
              <w:rPr>
                <w:b/>
                <w:sz w:val="16"/>
              </w:rPr>
              <w:t>Up</w:t>
            </w:r>
          </w:p>
        </w:tc>
      </w:tr>
      <w:tr>
        <w:tc>
          <w:tcPr>
            <w:tcW w:type="dxa" w:w="1680"/>
            <w:vAlign w:val="center"/>
          </w:tcPr>
          <w:p>
            <w:r>
              <w:rPr>
                <w:sz w:val="16"/>
              </w:rPr>
              <w:t>0</w:t>
            </w:r>
          </w:p>
        </w:tc>
        <w:tc>
          <w:tcPr>
            <w:tcW w:type="dxa" w:w="1680"/>
            <w:vAlign w:val="center"/>
          </w:tcPr>
          <w:p>
            <w:r>
              <w:rPr>
                <w:sz w:val="16"/>
              </w:rPr>
              <w:t>—</w:t>
            </w:r>
          </w:p>
        </w:tc>
        <w:tc>
          <w:tcPr>
            <w:tcW w:type="dxa" w:w="1680"/>
            <w:vAlign w:val="center"/>
          </w:tcPr>
          <w:p>
            <w:r>
              <w:rPr>
                <w:sz w:val="16"/>
              </w:rPr>
              <w:t>-0.423766</w:t>
            </w:r>
          </w:p>
        </w:tc>
        <w:tc>
          <w:tcPr>
            <w:tcW w:type="dxa" w:w="1680"/>
            <w:vAlign w:val="center"/>
          </w:tcPr>
          <w:p>
            <w:r>
              <w:rPr>
                <w:sz w:val="16"/>
              </w:rPr>
              <w:t>-0.423604</w:t>
            </w:r>
          </w:p>
        </w:tc>
        <w:tc>
          <w:tcPr>
            <w:tcW w:type="dxa" w:w="1680"/>
            <w:vAlign w:val="center"/>
          </w:tcPr>
          <w:p>
            <w:r>
              <w:rPr>
                <w:sz w:val="16"/>
              </w:rPr>
              <w:t>-0.567825</w:t>
            </w:r>
          </w:p>
        </w:tc>
        <w:tc>
          <w:tcPr>
            <w:tcW w:type="dxa" w:w="1680"/>
            <w:vAlign w:val="center"/>
          </w:tcPr>
          <w:p>
            <w:r>
              <w:rPr>
                <w:sz w:val="16"/>
              </w:rPr>
              <w:t>-0.423766</w:t>
            </w:r>
          </w:p>
        </w:tc>
      </w:tr>
      <w:tr>
        <w:tc>
          <w:tcPr>
            <w:tcW w:type="dxa" w:w="1680"/>
            <w:vAlign w:val="center"/>
          </w:tcPr>
          <w:p>
            <w:r>
              <w:rPr>
                <w:sz w:val="16"/>
              </w:rPr>
              <w:t>1</w:t>
            </w:r>
          </w:p>
        </w:tc>
        <w:tc>
          <w:tcPr>
            <w:tcW w:type="dxa" w:w="1680"/>
            <w:vAlign w:val="center"/>
          </w:tcPr>
          <w:p>
            <w:r>
              <w:rPr>
                <w:sz w:val="16"/>
              </w:rPr>
              <w:t>H</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r>
      <w:tr>
        <w:tc>
          <w:tcPr>
            <w:tcW w:type="dxa" w:w="1680"/>
            <w:vAlign w:val="center"/>
          </w:tcPr>
          <w:p>
            <w:r>
              <w:rPr>
                <w:sz w:val="16"/>
              </w:rPr>
              <w:t>2</w:t>
            </w:r>
          </w:p>
        </w:tc>
        <w:tc>
          <w:tcPr>
            <w:tcW w:type="dxa" w:w="1680"/>
            <w:vAlign w:val="center"/>
          </w:tcPr>
          <w:p>
            <w:r>
              <w:rPr>
                <w:sz w:val="16"/>
              </w:rPr>
              <w:t>—</w:t>
            </w:r>
          </w:p>
        </w:tc>
        <w:tc>
          <w:tcPr>
            <w:tcW w:type="dxa" w:w="1680"/>
            <w:vAlign w:val="center"/>
          </w:tcPr>
          <w:p>
            <w:r>
              <w:rPr>
                <w:sz w:val="16"/>
              </w:rPr>
              <w:t>-0.566161</w:t>
            </w:r>
          </w:p>
        </w:tc>
        <w:tc>
          <w:tcPr>
            <w:tcW w:type="dxa" w:w="1680"/>
            <w:vAlign w:val="center"/>
          </w:tcPr>
          <w:p>
            <w:r>
              <w:rPr>
                <w:sz w:val="16"/>
              </w:rPr>
              <w:t>-0.419395</w:t>
            </w:r>
          </w:p>
        </w:tc>
        <w:tc>
          <w:tcPr>
            <w:tcW w:type="dxa" w:w="1680"/>
            <w:vAlign w:val="center"/>
          </w:tcPr>
          <w:p>
            <w:r>
              <w:rPr>
                <w:sz w:val="16"/>
              </w:rPr>
              <w:t>-0.421999</w:t>
            </w:r>
          </w:p>
        </w:tc>
        <w:tc>
          <w:tcPr>
            <w:tcW w:type="dxa" w:w="1680"/>
            <w:vAlign w:val="center"/>
          </w:tcPr>
          <w:p>
            <w:r>
              <w:rPr>
                <w:sz w:val="16"/>
              </w:rPr>
              <w:t>-0.421548</w:t>
            </w:r>
          </w:p>
        </w:tc>
      </w:tr>
      <w:tr>
        <w:tc>
          <w:tcPr>
            <w:tcW w:type="dxa" w:w="1680"/>
            <w:vAlign w:val="center"/>
          </w:tcPr>
          <w:p>
            <w:r>
              <w:rPr>
                <w:sz w:val="16"/>
              </w:rPr>
              <w:t>3</w:t>
            </w:r>
          </w:p>
        </w:tc>
        <w:tc>
          <w:tcPr>
            <w:tcW w:type="dxa" w:w="1680"/>
            <w:vAlign w:val="center"/>
          </w:tcPr>
          <w:p>
            <w:r>
              <w:rPr>
                <w:sz w:val="16"/>
              </w:rPr>
              <w:t>—</w:t>
            </w:r>
          </w:p>
        </w:tc>
        <w:tc>
          <w:tcPr>
            <w:tcW w:type="dxa" w:w="1680"/>
            <w:vAlign w:val="center"/>
          </w:tcPr>
          <w:p>
            <w:r>
              <w:rPr>
                <w:sz w:val="16"/>
              </w:rPr>
              <w:t>-0.422900</w:t>
            </w:r>
          </w:p>
        </w:tc>
        <w:tc>
          <w:tcPr>
            <w:tcW w:type="dxa" w:w="1680"/>
            <w:vAlign w:val="center"/>
          </w:tcPr>
          <w:p>
            <w:r>
              <w:rPr>
                <w:sz w:val="16"/>
              </w:rPr>
              <w:t>-0.567513</w:t>
            </w:r>
          </w:p>
        </w:tc>
        <w:tc>
          <w:tcPr>
            <w:tcW w:type="dxa" w:w="1680"/>
            <w:vAlign w:val="center"/>
          </w:tcPr>
          <w:p>
            <w:r>
              <w:rPr>
                <w:sz w:val="16"/>
              </w:rPr>
              <w:t>-0.423351</w:t>
            </w:r>
          </w:p>
        </w:tc>
        <w:tc>
          <w:tcPr>
            <w:tcW w:type="dxa" w:w="1680"/>
            <w:vAlign w:val="center"/>
          </w:tcPr>
          <w:p>
            <w:r>
              <w:rPr>
                <w:sz w:val="16"/>
              </w:rPr>
              <w:t>-0.423351</w:t>
            </w:r>
          </w:p>
        </w:tc>
      </w:tr>
      <w:tr>
        <w:tc>
          <w:tcPr>
            <w:tcW w:type="dxa" w:w="1680"/>
            <w:vAlign w:val="center"/>
          </w:tcPr>
          <w:p>
            <w:r>
              <w:rPr>
                <w:sz w:val="16"/>
              </w:rPr>
              <w:t>4</w:t>
            </w:r>
          </w:p>
        </w:tc>
        <w:tc>
          <w:tcPr>
            <w:tcW w:type="dxa" w:w="1680"/>
            <w:vAlign w:val="center"/>
          </w:tcPr>
          <w:p>
            <w:r>
              <w:rPr>
                <w:sz w:val="16"/>
              </w:rPr>
              <w:t>—</w:t>
            </w:r>
          </w:p>
        </w:tc>
        <w:tc>
          <w:tcPr>
            <w:tcW w:type="dxa" w:w="1680"/>
            <w:vAlign w:val="center"/>
          </w:tcPr>
          <w:p>
            <w:r>
              <w:rPr>
                <w:sz w:val="16"/>
              </w:rPr>
              <w:t>-0.423117</w:t>
            </w:r>
          </w:p>
        </w:tc>
        <w:tc>
          <w:tcPr>
            <w:tcW w:type="dxa" w:w="1680"/>
            <w:vAlign w:val="center"/>
          </w:tcPr>
          <w:p>
            <w:r>
              <w:rPr>
                <w:sz w:val="16"/>
              </w:rPr>
              <w:t>-0.567338</w:t>
            </w:r>
          </w:p>
        </w:tc>
        <w:tc>
          <w:tcPr>
            <w:tcW w:type="dxa" w:w="1680"/>
            <w:vAlign w:val="center"/>
          </w:tcPr>
          <w:p>
            <w:r>
              <w:rPr>
                <w:sz w:val="16"/>
              </w:rPr>
              <w:t>-0.422342</w:t>
            </w:r>
          </w:p>
        </w:tc>
        <w:tc>
          <w:tcPr>
            <w:tcW w:type="dxa" w:w="1680"/>
            <w:vAlign w:val="center"/>
          </w:tcPr>
          <w:p>
            <w:r>
              <w:rPr>
                <w:sz w:val="16"/>
              </w:rPr>
              <w:t>-0.423280</w:t>
            </w:r>
          </w:p>
        </w:tc>
      </w:tr>
      <w:tr>
        <w:tc>
          <w:tcPr>
            <w:tcW w:type="dxa" w:w="1680"/>
            <w:vAlign w:val="center"/>
          </w:tcPr>
          <w:p>
            <w:r>
              <w:rPr>
                <w:sz w:val="16"/>
              </w:rPr>
              <w:t>5</w:t>
            </w:r>
          </w:p>
        </w:tc>
        <w:tc>
          <w:tcPr>
            <w:tcW w:type="dxa" w:w="1680"/>
            <w:vAlign w:val="center"/>
          </w:tcPr>
          <w:p>
            <w:r>
              <w:rPr>
                <w:sz w:val="16"/>
              </w:rPr>
              <w:t>—</w:t>
            </w:r>
          </w:p>
        </w:tc>
        <w:tc>
          <w:tcPr>
            <w:tcW w:type="dxa" w:w="1680"/>
            <w:vAlign w:val="center"/>
          </w:tcPr>
          <w:p>
            <w:r>
              <w:rPr>
                <w:sz w:val="16"/>
              </w:rPr>
              <w:t>-0.420792</w:t>
            </w:r>
          </w:p>
        </w:tc>
        <w:tc>
          <w:tcPr>
            <w:tcW w:type="dxa" w:w="1680"/>
            <w:vAlign w:val="center"/>
          </w:tcPr>
          <w:p>
            <w:r>
              <w:rPr>
                <w:sz w:val="16"/>
              </w:rPr>
              <w:t>-0.418246</w:t>
            </w:r>
          </w:p>
        </w:tc>
        <w:tc>
          <w:tcPr>
            <w:tcW w:type="dxa" w:w="1680"/>
            <w:vAlign w:val="center"/>
          </w:tcPr>
          <w:p>
            <w:r>
              <w:rPr>
                <w:sz w:val="16"/>
              </w:rPr>
              <w:t>-0.418246</w:t>
            </w:r>
          </w:p>
        </w:tc>
        <w:tc>
          <w:tcPr>
            <w:tcW w:type="dxa" w:w="1680"/>
            <w:vAlign w:val="center"/>
          </w:tcPr>
          <w:p>
            <w:r>
              <w:rPr>
                <w:sz w:val="16"/>
              </w:rPr>
              <w:t>-0.565013</w:t>
            </w:r>
          </w:p>
        </w:tc>
      </w:tr>
      <w:tr>
        <w:tc>
          <w:tcPr>
            <w:tcW w:type="dxa" w:w="1680"/>
            <w:vAlign w:val="center"/>
          </w:tcPr>
          <w:p>
            <w:r>
              <w:rPr>
                <w:sz w:val="16"/>
              </w:rPr>
              <w:t>6</w:t>
            </w:r>
          </w:p>
        </w:tc>
        <w:tc>
          <w:tcPr>
            <w:tcW w:type="dxa" w:w="1680"/>
            <w:vAlign w:val="center"/>
          </w:tcPr>
          <w:p>
            <w:r>
              <w:rPr>
                <w:sz w:val="16"/>
              </w:rPr>
              <w:t>—</w:t>
            </w:r>
          </w:p>
        </w:tc>
        <w:tc>
          <w:tcPr>
            <w:tcW w:type="dxa" w:w="1680"/>
            <w:vAlign w:val="center"/>
          </w:tcPr>
          <w:p>
            <w:r>
              <w:rPr>
                <w:sz w:val="16"/>
              </w:rPr>
              <w:t>-0.414705</w:t>
            </w:r>
          </w:p>
        </w:tc>
        <w:tc>
          <w:tcPr>
            <w:tcW w:type="dxa" w:w="1680"/>
            <w:vAlign w:val="center"/>
          </w:tcPr>
          <w:p>
            <w:r>
              <w:rPr>
                <w:sz w:val="16"/>
              </w:rPr>
              <w:t>-0.401326</w:t>
            </w:r>
          </w:p>
        </w:tc>
        <w:tc>
          <w:tcPr>
            <w:tcW w:type="dxa" w:w="1680"/>
            <w:vAlign w:val="center"/>
          </w:tcPr>
          <w:p>
            <w:r>
              <w:rPr>
                <w:sz w:val="16"/>
              </w:rPr>
              <w:t>-0.559701</w:t>
            </w:r>
          </w:p>
        </w:tc>
        <w:tc>
          <w:tcPr>
            <w:tcW w:type="dxa" w:w="1680"/>
            <w:vAlign w:val="center"/>
          </w:tcPr>
          <w:p>
            <w:r>
              <w:rPr>
                <w:sz w:val="16"/>
              </w:rPr>
              <w:t>-0.415088</w:t>
            </w:r>
          </w:p>
        </w:tc>
      </w:tr>
      <w:tr>
        <w:tc>
          <w:tcPr>
            <w:tcW w:type="dxa" w:w="1680"/>
            <w:vAlign w:val="center"/>
          </w:tcPr>
          <w:p>
            <w:r>
              <w:rPr>
                <w:sz w:val="16"/>
              </w:rPr>
              <w:t>7</w:t>
            </w:r>
          </w:p>
        </w:tc>
        <w:tc>
          <w:tcPr>
            <w:tcW w:type="dxa" w:w="1680"/>
            <w:vAlign w:val="center"/>
          </w:tcPr>
          <w:p>
            <w:r>
              <w:rPr>
                <w:sz w:val="16"/>
              </w:rPr>
              <w:t>H</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r>
      <w:tr>
        <w:tc>
          <w:tcPr>
            <w:tcW w:type="dxa" w:w="1680"/>
            <w:vAlign w:val="center"/>
          </w:tcPr>
          <w:p>
            <w:r>
              <w:rPr>
                <w:sz w:val="16"/>
              </w:rPr>
              <w:t>8</w:t>
            </w:r>
          </w:p>
        </w:tc>
        <w:tc>
          <w:tcPr>
            <w:tcW w:type="dxa" w:w="1680"/>
            <w:vAlign w:val="center"/>
          </w:tcPr>
          <w:p>
            <w:r>
              <w:rPr>
                <w:sz w:val="16"/>
              </w:rPr>
              <w:t>H</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r>
      <w:tr>
        <w:tc>
          <w:tcPr>
            <w:tcW w:type="dxa" w:w="1680"/>
            <w:vAlign w:val="center"/>
          </w:tcPr>
          <w:p>
            <w:r>
              <w:rPr>
                <w:sz w:val="16"/>
              </w:rPr>
              <w:t>9</w:t>
            </w:r>
          </w:p>
        </w:tc>
        <w:tc>
          <w:tcPr>
            <w:tcW w:type="dxa" w:w="1680"/>
            <w:vAlign w:val="center"/>
          </w:tcPr>
          <w:p>
            <w:r>
              <w:rPr>
                <w:sz w:val="16"/>
              </w:rPr>
              <w:t>—</w:t>
            </w:r>
          </w:p>
        </w:tc>
        <w:tc>
          <w:tcPr>
            <w:tcW w:type="dxa" w:w="1680"/>
            <w:vAlign w:val="center"/>
          </w:tcPr>
          <w:p>
            <w:r>
              <w:rPr>
                <w:sz w:val="16"/>
              </w:rPr>
              <w:t>-0.559701</w:t>
            </w:r>
          </w:p>
        </w:tc>
        <w:tc>
          <w:tcPr>
            <w:tcW w:type="dxa" w:w="1680"/>
            <w:vAlign w:val="center"/>
          </w:tcPr>
          <w:p>
            <w:r>
              <w:rPr>
                <w:sz w:val="16"/>
              </w:rPr>
              <w:t>-0.415088</w:t>
            </w:r>
          </w:p>
        </w:tc>
        <w:tc>
          <w:tcPr>
            <w:tcW w:type="dxa" w:w="1680"/>
            <w:vAlign w:val="center"/>
          </w:tcPr>
          <w:p>
            <w:r>
              <w:rPr>
                <w:sz w:val="16"/>
              </w:rPr>
              <w:t>-0.401326</w:t>
            </w:r>
          </w:p>
        </w:tc>
        <w:tc>
          <w:tcPr>
            <w:tcW w:type="dxa" w:w="1680"/>
            <w:vAlign w:val="center"/>
          </w:tcPr>
          <w:p>
            <w:r>
              <w:rPr>
                <w:sz w:val="16"/>
              </w:rPr>
              <w:t>-0.414705</w:t>
            </w:r>
          </w:p>
        </w:tc>
      </w:tr>
      <w:tr>
        <w:tc>
          <w:tcPr>
            <w:tcW w:type="dxa" w:w="1680"/>
            <w:vAlign w:val="center"/>
          </w:tcPr>
          <w:p>
            <w:r>
              <w:rPr>
                <w:sz w:val="16"/>
              </w:rPr>
              <w:t>10</w:t>
            </w:r>
          </w:p>
        </w:tc>
        <w:tc>
          <w:tcPr>
            <w:tcW w:type="dxa" w:w="1680"/>
            <w:vAlign w:val="center"/>
          </w:tcPr>
          <w:p>
            <w:r>
              <w:rPr>
                <w:sz w:val="16"/>
              </w:rPr>
              <w:t>—</w:t>
            </w:r>
          </w:p>
        </w:tc>
        <w:tc>
          <w:tcPr>
            <w:tcW w:type="dxa" w:w="1680"/>
            <w:vAlign w:val="center"/>
          </w:tcPr>
          <w:p>
            <w:r>
              <w:rPr>
                <w:sz w:val="16"/>
              </w:rPr>
              <w:t>-0.378110</w:t>
            </w:r>
          </w:p>
        </w:tc>
        <w:tc>
          <w:tcPr>
            <w:tcW w:type="dxa" w:w="1680"/>
            <w:vAlign w:val="center"/>
          </w:tcPr>
          <w:p>
            <w:r>
              <w:rPr>
                <w:sz w:val="16"/>
              </w:rPr>
              <w:t>-0.524876</w:t>
            </w:r>
          </w:p>
        </w:tc>
        <w:tc>
          <w:tcPr>
            <w:tcW w:type="dxa" w:w="1680"/>
            <w:vAlign w:val="center"/>
          </w:tcPr>
          <w:p>
            <w:r>
              <w:rPr>
                <w:sz w:val="16"/>
              </w:rPr>
              <w:t>-0.303356</w:t>
            </w:r>
          </w:p>
        </w:tc>
        <w:tc>
          <w:tcPr>
            <w:tcW w:type="dxa" w:w="1680"/>
            <w:vAlign w:val="center"/>
          </w:tcPr>
          <w:p>
            <w:r>
              <w:rPr>
                <w:sz w:val="16"/>
              </w:rPr>
              <w:t>-0.378110</w:t>
            </w:r>
          </w:p>
        </w:tc>
      </w:tr>
      <w:tr>
        <w:tc>
          <w:tcPr>
            <w:tcW w:type="dxa" w:w="1680"/>
            <w:vAlign w:val="center"/>
          </w:tcPr>
          <w:p>
            <w:r>
              <w:rPr>
                <w:sz w:val="16"/>
              </w:rPr>
              <w:t>11</w:t>
            </w:r>
          </w:p>
        </w:tc>
        <w:tc>
          <w:tcPr>
            <w:tcW w:type="dxa" w:w="1680"/>
            <w:vAlign w:val="center"/>
          </w:tcPr>
          <w:p>
            <w:r>
              <w:rPr>
                <w:sz w:val="16"/>
              </w:rPr>
              <w:t>—</w:t>
            </w:r>
          </w:p>
        </w:tc>
        <w:tc>
          <w:tcPr>
            <w:tcW w:type="dxa" w:w="1680"/>
            <w:vAlign w:val="center"/>
          </w:tcPr>
          <w:p>
            <w:r>
              <w:rPr>
                <w:sz w:val="16"/>
              </w:rPr>
              <w:t>-0.177065</w:t>
            </w:r>
          </w:p>
        </w:tc>
        <w:tc>
          <w:tcPr>
            <w:tcW w:type="dxa" w:w="1680"/>
            <w:vAlign w:val="center"/>
          </w:tcPr>
          <w:p>
            <w:r>
              <w:rPr>
                <w:sz w:val="16"/>
              </w:rPr>
              <w:t>0.164561</w:t>
            </w:r>
          </w:p>
        </w:tc>
        <w:tc>
          <w:tcPr>
            <w:tcW w:type="dxa" w:w="1680"/>
            <w:vAlign w:val="center"/>
          </w:tcPr>
          <w:p>
            <w:r>
              <w:rPr>
                <w:sz w:val="16"/>
              </w:rPr>
              <w:t>-0.113919</w:t>
            </w:r>
          </w:p>
        </w:tc>
        <w:tc>
          <w:tcPr>
            <w:tcW w:type="dxa" w:w="1680"/>
            <w:vAlign w:val="center"/>
          </w:tcPr>
          <w:p>
            <w:r>
              <w:rPr>
                <w:sz w:val="16"/>
              </w:rPr>
              <w:t>-0.335439</w:t>
            </w:r>
          </w:p>
        </w:tc>
      </w:tr>
      <w:tr>
        <w:tc>
          <w:tcPr>
            <w:tcW w:type="dxa" w:w="1680"/>
            <w:vAlign w:val="center"/>
          </w:tcPr>
          <w:p>
            <w:r>
              <w:rPr>
                <w:sz w:val="16"/>
              </w:rPr>
              <w:t>12</w:t>
            </w:r>
          </w:p>
        </w:tc>
        <w:tc>
          <w:tcPr>
            <w:tcW w:type="dxa" w:w="1680"/>
            <w:vAlign w:val="center"/>
          </w:tcPr>
          <w:p>
            <w:r>
              <w:rPr>
                <w:sz w:val="16"/>
              </w:rPr>
              <w:t>—</w:t>
            </w:r>
          </w:p>
        </w:tc>
        <w:tc>
          <w:tcPr>
            <w:tcW w:type="dxa" w:w="1680"/>
            <w:vAlign w:val="center"/>
          </w:tcPr>
          <w:p>
            <w:r>
              <w:rPr>
                <w:sz w:val="16"/>
              </w:rPr>
              <w:t>-0.423351</w:t>
            </w:r>
          </w:p>
        </w:tc>
        <w:tc>
          <w:tcPr>
            <w:tcW w:type="dxa" w:w="1680"/>
            <w:vAlign w:val="center"/>
          </w:tcPr>
          <w:p>
            <w:r>
              <w:rPr>
                <w:sz w:val="16"/>
              </w:rPr>
              <w:t>-0.423351</w:t>
            </w:r>
          </w:p>
        </w:tc>
        <w:tc>
          <w:tcPr>
            <w:tcW w:type="dxa" w:w="1680"/>
            <w:vAlign w:val="center"/>
          </w:tcPr>
          <w:p>
            <w:r>
              <w:rPr>
                <w:sz w:val="16"/>
              </w:rPr>
              <w:t>-0.422900</w:t>
            </w:r>
          </w:p>
        </w:tc>
        <w:tc>
          <w:tcPr>
            <w:tcW w:type="dxa" w:w="1680"/>
            <w:vAlign w:val="center"/>
          </w:tcPr>
          <w:p>
            <w:r>
              <w:rPr>
                <w:sz w:val="16"/>
              </w:rPr>
              <w:t>-0.567513</w:t>
            </w:r>
          </w:p>
        </w:tc>
      </w:tr>
      <w:tr>
        <w:tc>
          <w:tcPr>
            <w:tcW w:type="dxa" w:w="1680"/>
            <w:vAlign w:val="center"/>
          </w:tcPr>
          <w:p>
            <w:r>
              <w:rPr>
                <w:sz w:val="16"/>
              </w:rPr>
              <w:t>13</w:t>
            </w:r>
          </w:p>
        </w:tc>
        <w:tc>
          <w:tcPr>
            <w:tcW w:type="dxa" w:w="1680"/>
            <w:vAlign w:val="center"/>
          </w:tcPr>
          <w:p>
            <w:r>
              <w:rPr>
                <w:sz w:val="16"/>
              </w:rPr>
              <w:t>—</w:t>
            </w:r>
          </w:p>
        </w:tc>
        <w:tc>
          <w:tcPr>
            <w:tcW w:type="dxa" w:w="1680"/>
            <w:vAlign w:val="center"/>
          </w:tcPr>
          <w:p>
            <w:r>
              <w:rPr>
                <w:sz w:val="16"/>
              </w:rPr>
              <w:t>-0.421999</w:t>
            </w:r>
          </w:p>
        </w:tc>
        <w:tc>
          <w:tcPr>
            <w:tcW w:type="dxa" w:w="1680"/>
            <w:vAlign w:val="center"/>
          </w:tcPr>
          <w:p>
            <w:r>
              <w:rPr>
                <w:sz w:val="16"/>
              </w:rPr>
              <w:t>-0.421548</w:t>
            </w:r>
          </w:p>
        </w:tc>
        <w:tc>
          <w:tcPr>
            <w:tcW w:type="dxa" w:w="1680"/>
            <w:vAlign w:val="center"/>
          </w:tcPr>
          <w:p>
            <w:r>
              <w:rPr>
                <w:sz w:val="16"/>
              </w:rPr>
              <w:t>-0.566161</w:t>
            </w:r>
          </w:p>
        </w:tc>
        <w:tc>
          <w:tcPr>
            <w:tcW w:type="dxa" w:w="1680"/>
            <w:vAlign w:val="center"/>
          </w:tcPr>
          <w:p>
            <w:r>
              <w:rPr>
                <w:sz w:val="16"/>
              </w:rPr>
              <w:t>-0.419395</w:t>
            </w:r>
          </w:p>
        </w:tc>
      </w:tr>
      <w:tr>
        <w:tc>
          <w:tcPr>
            <w:tcW w:type="dxa" w:w="1680"/>
            <w:vAlign w:val="center"/>
          </w:tcPr>
          <w:p>
            <w:r>
              <w:rPr>
                <w:sz w:val="16"/>
              </w:rPr>
              <w:t>14</w:t>
            </w:r>
          </w:p>
        </w:tc>
        <w:tc>
          <w:tcPr>
            <w:tcW w:type="dxa" w:w="1680"/>
            <w:vAlign w:val="center"/>
          </w:tcPr>
          <w:p>
            <w:r>
              <w:rPr>
                <w:sz w:val="16"/>
              </w:rPr>
              <w:t>H</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r>
      <w:tr>
        <w:tc>
          <w:tcPr>
            <w:tcW w:type="dxa" w:w="1680"/>
            <w:vAlign w:val="center"/>
          </w:tcPr>
          <w:p>
            <w:r>
              <w:rPr>
                <w:sz w:val="16"/>
              </w:rPr>
              <w:t>15</w:t>
            </w:r>
          </w:p>
        </w:tc>
        <w:tc>
          <w:tcPr>
            <w:tcW w:type="dxa" w:w="1680"/>
            <w:vAlign w:val="center"/>
          </w:tcPr>
          <w:p>
            <w:r>
              <w:rPr>
                <w:sz w:val="16"/>
              </w:rPr>
              <w:t>G</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c>
          <w:tcPr>
            <w:tcW w:type="dxa" w:w="1680"/>
            <w:vAlign w:val="center"/>
          </w:tcPr>
          <w:p>
            <w:r>
              <w:rPr>
                <w:sz w:val="16"/>
              </w:rPr>
              <w:t>0.000000</w:t>
            </w:r>
          </w:p>
        </w:tc>
      </w:tr>
    </w:tbl>
    <w:p>
      <w:pPr>
        <w:pStyle w:val="Heading1"/>
      </w:pPr>
      <w:r>
        <w:t>Part 3 — Policy Iteration and Value Iteration</w:t>
      </w:r>
    </w:p>
    <w:p>
      <w:pPr>
        <w:pStyle w:val="Heading2"/>
      </w:pPr>
      <w:r>
        <w:t>3.1 Policy iteration</w:t>
      </w:r>
    </w:p>
    <w:p>
      <w:r>
        <w:t>Policy iteration alternates between policy evaluation and policy improvement. We begin with the uniform random policy. Once its value function is evaluated, we form Qπ(s,a) and greedily select the action with the largest value at each non-terminal state.</w:t>
      </w:r>
    </w:p>
    <w:p>
      <w:pPr>
        <w:spacing w:after="40"/>
        <w:ind w:left="288"/>
      </w:pPr>
      <w:r>
        <w:rPr>
          <w:rFonts w:ascii="Consolas" w:hAnsi="Consolas"/>
          <w:sz w:val="18"/>
        </w:rPr>
        <w:t>π_new(s) = argmax_a Σs′ P(s′|s,a)[R(s,a,s′) + γ Vπ(s′)]</w:t>
      </w:r>
    </w:p>
    <w:p>
      <w:r>
        <w:t>With the fixed model, the successive policy evaluations take the following numbers of sweeps: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sz w:val="18"/>
              </w:rPr>
              <w:t>Policy evaluation check</w:t>
            </w:r>
          </w:p>
        </w:tc>
        <w:tc>
          <w:tcPr>
            <w:tcW w:type="dxa" w:w="3360"/>
          </w:tcPr>
          <w:p>
            <w:r>
              <w:rPr>
                <w:b/>
                <w:sz w:val="18"/>
              </w:rPr>
              <w:t>Sweeps</w:t>
            </w:r>
          </w:p>
        </w:tc>
        <w:tc>
          <w:tcPr>
            <w:tcW w:type="dxa" w:w="3360"/>
          </w:tcPr>
          <w:p>
            <w:r>
              <w:rPr>
                <w:b/>
                <w:sz w:val="18"/>
              </w:rPr>
              <w:t>Outcome</w:t>
            </w:r>
          </w:p>
        </w:tc>
      </w:tr>
      <w:tr>
        <w:tc>
          <w:tcPr>
            <w:tcW w:type="dxa" w:w="3360"/>
            <w:vAlign w:val="center"/>
          </w:tcPr>
          <w:p>
            <w:r>
              <w:rPr>
                <w:sz w:val="18"/>
              </w:rPr>
              <w:t>Initial uniform policy</w:t>
            </w:r>
          </w:p>
        </w:tc>
        <w:tc>
          <w:tcPr>
            <w:tcW w:type="dxa" w:w="3360"/>
            <w:vAlign w:val="center"/>
          </w:tcPr>
          <w:p>
            <w:r>
              <w:rPr>
                <w:sz w:val="18"/>
              </w:rPr>
              <w:t>94</w:t>
            </w:r>
          </w:p>
        </w:tc>
        <w:tc>
          <w:tcPr>
            <w:tcW w:type="dxa" w:w="3360"/>
            <w:vAlign w:val="center"/>
          </w:tcPr>
          <w:p>
            <w:r>
              <w:rPr>
                <w:sz w:val="18"/>
              </w:rPr>
              <w:t>Greedy improvement gives deterministic policy</w:t>
            </w:r>
          </w:p>
        </w:tc>
      </w:tr>
      <w:tr>
        <w:tc>
          <w:tcPr>
            <w:tcW w:type="dxa" w:w="3360"/>
            <w:vAlign w:val="center"/>
          </w:tcPr>
          <w:p>
            <w:r>
              <w:rPr>
                <w:sz w:val="18"/>
              </w:rPr>
              <w:t>Improved deterministic policy</w:t>
            </w:r>
          </w:p>
        </w:tc>
        <w:tc>
          <w:tcPr>
            <w:tcW w:type="dxa" w:w="3360"/>
            <w:vAlign w:val="center"/>
          </w:tcPr>
          <w:p>
            <w:r>
              <w:rPr>
                <w:sz w:val="18"/>
              </w:rPr>
              <w:t>72</w:t>
            </w:r>
          </w:p>
        </w:tc>
        <w:tc>
          <w:tcPr>
            <w:tcW w:type="dxa" w:w="3360"/>
            <w:vAlign w:val="center"/>
          </w:tcPr>
          <w:p>
            <w:r>
              <w:rPr>
                <w:sz w:val="18"/>
              </w:rPr>
              <w:t>Policy remains unchanged; stable</w:t>
            </w:r>
          </w:p>
        </w:tc>
      </w:tr>
    </w:tbl>
    <w:p>
      <w:r>
        <w:t>The policy stabilizes after two improvement checks. A policy is stable when another greedy improvement does not change any action. Policy evaluation itself is run to the specified value tolerance at each check.</w:t>
      </w:r>
    </w:p>
    <w:p>
      <w:pPr>
        <w:pStyle w:val="Heading2"/>
      </w:pPr>
      <w:r>
        <w:t>3.2 Value iteration</w:t>
      </w:r>
    </w:p>
    <w:p>
      <w:r>
        <w:t>Value iteration uses the Bellman optimality update, taking the maximum over actions on every sweep:</w:t>
      </w:r>
    </w:p>
    <w:p>
      <w:pPr>
        <w:spacing w:after="40"/>
        <w:ind w:left="288"/>
      </w:pPr>
      <w:r>
        <w:rPr>
          <w:rFonts w:ascii="Consolas" w:hAnsi="Consolas"/>
          <w:sz w:val="18"/>
        </w:rPr>
        <w:t>V_{k+1}(s) = max_a Σs′ P(s′|s,a)[R(s,a,s′) + γV_k(s′)]</w:t>
      </w:r>
    </w:p>
    <w:p>
      <w:r>
        <w:t>At γ=0.9 and θ=10⁻⁸, value iteration converges in 72 sweeps. Its greedy policy matches the policy obtained by policy iteration.</w:t>
      </w:r>
    </w:p>
    <w:p>
      <w:r>
        <w:t>Optimal value function from value iteration:</w:t>
      </w:r>
    </w:p>
    <w:p>
      <w:pPr>
        <w:spacing w:after="40"/>
        <w:ind w:left="288"/>
      </w:pPr>
      <w:r>
        <w:rPr>
          <w:rFonts w:ascii="Consolas" w:hAnsi="Consolas"/>
          <w:sz w:val="18"/>
        </w:rPr>
        <w:t xml:space="preserve"> 0.034569   0.000000   0.180767   0.094377</w:t>
      </w:r>
    </w:p>
    <w:p>
      <w:pPr>
        <w:spacing w:after="40"/>
        <w:ind w:left="288"/>
      </w:pPr>
      <w:r>
        <w:rPr>
          <w:rFonts w:ascii="Consolas" w:hAnsi="Consolas"/>
          <w:sz w:val="18"/>
        </w:rPr>
        <w:t xml:space="preserve"> 0.094377   0.180767   0.305553   0.000000</w:t>
      </w:r>
    </w:p>
    <w:p>
      <w:pPr>
        <w:spacing w:after="40"/>
        <w:ind w:left="288"/>
      </w:pPr>
      <w:r>
        <w:rPr>
          <w:rFonts w:ascii="Consolas" w:hAnsi="Consolas"/>
          <w:sz w:val="18"/>
        </w:rPr>
        <w:t xml:space="preserve"> 0.000000   0.305553   0.485799   0.746154</w:t>
      </w:r>
    </w:p>
    <w:p>
      <w:pPr>
        <w:spacing w:after="40"/>
        <w:ind w:left="288"/>
      </w:pPr>
      <w:r>
        <w:rPr>
          <w:rFonts w:ascii="Consolas" w:hAnsi="Consolas"/>
          <w:sz w:val="18"/>
        </w:rPr>
        <w:t xml:space="preserve"> 0.094377   0.180767   0.000000   0.000000</w:t>
      </w:r>
    </w:p>
    <w:p>
      <w:r>
        <w:t>Greedy policy (L=Left, D=Down, R=Right, U=Up; H/G are terminal cells):</w:t>
      </w:r>
    </w:p>
    <w:p>
      <w:pPr>
        <w:spacing w:after="40"/>
        <w:ind w:left="288"/>
      </w:pPr>
      <w:r>
        <w:rPr>
          <w:rFonts w:ascii="Consolas" w:hAnsi="Consolas"/>
          <w:sz w:val="18"/>
        </w:rPr>
        <w:t>D  H  D  L</w:t>
      </w:r>
    </w:p>
    <w:p>
      <w:pPr>
        <w:spacing w:after="40"/>
        <w:ind w:left="288"/>
      </w:pPr>
      <w:r>
        <w:rPr>
          <w:rFonts w:ascii="Consolas" w:hAnsi="Consolas"/>
          <w:sz w:val="18"/>
        </w:rPr>
        <w:t>R  D  D  H</w:t>
      </w:r>
    </w:p>
    <w:p>
      <w:pPr>
        <w:spacing w:after="40"/>
        <w:ind w:left="288"/>
      </w:pPr>
      <w:r>
        <w:rPr>
          <w:rFonts w:ascii="Consolas" w:hAnsi="Consolas"/>
          <w:sz w:val="18"/>
        </w:rPr>
        <w:t>H  R  R  D</w:t>
      </w:r>
    </w:p>
    <w:p>
      <w:pPr>
        <w:spacing w:after="40"/>
        <w:ind w:left="288"/>
      </w:pPr>
      <w:r>
        <w:rPr>
          <w:rFonts w:ascii="Consolas" w:hAnsi="Consolas"/>
          <w:sz w:val="18"/>
        </w:rPr>
        <w:t>R  U  H  G</w:t>
      </w:r>
    </w:p>
    <w:p>
      <w:pPr>
        <w:pStyle w:val="Heading2"/>
      </w:pPr>
      <w:r>
        <w:t>3.3 Contraction-property explanation</w:t>
      </w:r>
    </w:p>
    <w:p>
      <w:r>
        <w:t>For a discounted MDP with bounded rewards and 0≤γ&lt;1, both the Bellman expectation operator Tπ and Bellman optimality operator T are contractions in the infinity norm: ||TV−TU||∞ ≤ γ||V−U||∞. This guarantees convergence to their respective unique fixed points. Policy iteration explicitly evaluates a policy and then improves it, often needing relatively few improvement steps. Value iteration combines improvement with value updates and can require more sweeps. The contraction result guarantees convergence but does not universally guarantee fewer total computations for policy iteration.</w:t>
      </w:r>
    </w:p>
    <w:p>
      <w:pPr>
        <w:pStyle w:val="Heading1"/>
      </w:pPr>
      <w:r>
        <w:t>Part 4 — Exact Solution Using Linear Algebra</w:t>
      </w:r>
    </w:p>
    <w:p>
      <w:pPr>
        <w:pStyle w:val="Heading2"/>
      </w:pPr>
      <w:r>
        <w:t>4.1 Derivation</w:t>
      </w:r>
    </w:p>
    <w:p>
      <w:pPr>
        <w:spacing w:after="40"/>
        <w:ind w:left="288"/>
      </w:pPr>
      <w:r>
        <w:rPr>
          <w:rFonts w:ascii="Consolas" w:hAnsi="Consolas"/>
          <w:sz w:val="18"/>
        </w:rPr>
        <w:t>Vπ = Rπ + γPπVπ</w:t>
      </w:r>
    </w:p>
    <w:p>
      <w:pPr>
        <w:spacing w:after="40"/>
        <w:ind w:left="288"/>
      </w:pPr>
      <w:r>
        <w:rPr>
          <w:rFonts w:ascii="Consolas" w:hAnsi="Consolas"/>
          <w:sz w:val="18"/>
        </w:rPr>
        <w:t>(I − γPπ)Vπ = Rπ</w:t>
      </w:r>
    </w:p>
    <w:p>
      <w:pPr>
        <w:spacing w:after="40"/>
        <w:ind w:left="288"/>
      </w:pPr>
      <w:r>
        <w:rPr>
          <w:rFonts w:ascii="Consolas" w:hAnsi="Consolas"/>
          <w:sz w:val="18"/>
        </w:rPr>
        <w:t>Vπ = (I − γPπ)⁻¹ Rπ</w:t>
      </w:r>
    </w:p>
    <w:p>
      <w:r>
        <w:t>Pπ(s,s′)=Σa π(a|s)P(s′|s,a) and Rπ(s)=Σa π(a|s)Σs′P(s′|s,a)R(s,a,s′). In code, np.linalg.solve is preferred over explicitly forming the inverse. Terminal values are constrained to zero.</w:t>
      </w:r>
    </w:p>
    <w:p>
      <w:r>
        <w:t>The maximum absolute difference between iterative evaluation (θ=10⁻⁸) and the linear-system solution is 4.543663e-08. The small discrepancy is consistent with stopping the iterative method at a finite tolerance.</w:t>
      </w:r>
    </w:p>
    <w:p>
      <w:pPr>
        <w:pStyle w:val="Heading2"/>
      </w:pPr>
      <w:r>
        <w:t>4.2 Why exact linear algebra does not scale</w:t>
      </w:r>
    </w:p>
    <w:p>
      <w:r>
        <w:t>A dense n×n transition matrix requires O(n²) memory, and a general dense linear solve typically requires O(n³) computation. These costs become impractical for very large state spaces. Iterative methods, sampling-based model-free methods, sparse representations, and function approximation can avoid solving one large dense system.</w:t>
      </w:r>
    </w:p>
    <w:p>
      <w:pPr>
        <w:pStyle w:val="Heading1"/>
      </w:pPr>
      <w:r>
        <w:t>Part 5 — Exploration Questions</w:t>
      </w:r>
    </w:p>
    <w:p>
      <w:pPr>
        <w:pStyle w:val="Heading2"/>
      </w:pPr>
      <w:r>
        <w:t>5.1 Effect of the discount factor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sz w:val="18"/>
              </w:rPr>
              <w:t>γ</w:t>
            </w:r>
          </w:p>
        </w:tc>
        <w:tc>
          <w:tcPr>
            <w:tcW w:type="dxa" w:w="3360"/>
          </w:tcPr>
          <w:p>
            <w:r>
              <w:rPr>
                <w:b/>
                <w:sz w:val="18"/>
              </w:rPr>
              <w:t>Value-iteration sweeps</w:t>
            </w:r>
          </w:p>
        </w:tc>
        <w:tc>
          <w:tcPr>
            <w:tcW w:type="dxa" w:w="3360"/>
          </w:tcPr>
          <w:p>
            <w:r>
              <w:rPr>
                <w:b/>
                <w:sz w:val="18"/>
              </w:rPr>
              <w:t>V*(0)</w:t>
            </w:r>
          </w:p>
        </w:tc>
      </w:tr>
      <w:tr>
        <w:tc>
          <w:tcPr>
            <w:tcW w:type="dxa" w:w="3360"/>
            <w:vAlign w:val="center"/>
          </w:tcPr>
          <w:p>
            <w:r>
              <w:rPr>
                <w:sz w:val="18"/>
              </w:rPr>
              <w:t>0.5</w:t>
            </w:r>
          </w:p>
        </w:tc>
        <w:tc>
          <w:tcPr>
            <w:tcW w:type="dxa" w:w="3360"/>
            <w:vAlign w:val="center"/>
          </w:tcPr>
          <w:p>
            <w:r>
              <w:rPr>
                <w:sz w:val="18"/>
              </w:rPr>
              <w:t>24</w:t>
            </w:r>
          </w:p>
        </w:tc>
        <w:tc>
          <w:tcPr>
            <w:tcW w:type="dxa" w:w="3360"/>
            <w:vAlign w:val="center"/>
          </w:tcPr>
          <w:p>
            <w:r>
              <w:rPr>
                <w:sz w:val="18"/>
              </w:rPr>
              <w:t>-0.019869444</w:t>
            </w:r>
          </w:p>
        </w:tc>
      </w:tr>
      <w:tr>
        <w:tc>
          <w:tcPr>
            <w:tcW w:type="dxa" w:w="3360"/>
            <w:vAlign w:val="center"/>
          </w:tcPr>
          <w:p>
            <w:r>
              <w:rPr>
                <w:sz w:val="18"/>
              </w:rPr>
              <w:t>0.9</w:t>
            </w:r>
          </w:p>
        </w:tc>
        <w:tc>
          <w:tcPr>
            <w:tcW w:type="dxa" w:w="3360"/>
            <w:vAlign w:val="center"/>
          </w:tcPr>
          <w:p>
            <w:r>
              <w:rPr>
                <w:sz w:val="18"/>
              </w:rPr>
              <w:t>72</w:t>
            </w:r>
          </w:p>
        </w:tc>
        <w:tc>
          <w:tcPr>
            <w:tcW w:type="dxa" w:w="3360"/>
            <w:vAlign w:val="center"/>
          </w:tcPr>
          <w:p>
            <w:r>
              <w:rPr>
                <w:sz w:val="18"/>
              </w:rPr>
              <w:t>0.034569003</w:t>
            </w:r>
          </w:p>
        </w:tc>
      </w:tr>
      <w:tr>
        <w:tc>
          <w:tcPr>
            <w:tcW w:type="dxa" w:w="3360"/>
            <w:vAlign w:val="center"/>
          </w:tcPr>
          <w:p>
            <w:r>
              <w:rPr>
                <w:sz w:val="18"/>
              </w:rPr>
              <w:t>0.999</w:t>
            </w:r>
          </w:p>
        </w:tc>
        <w:tc>
          <w:tcPr>
            <w:tcW w:type="dxa" w:w="3360"/>
            <w:vAlign w:val="center"/>
          </w:tcPr>
          <w:p>
            <w:r>
              <w:rPr>
                <w:sz w:val="18"/>
              </w:rPr>
              <w:t>105</w:t>
            </w:r>
          </w:p>
        </w:tc>
        <w:tc>
          <w:tcPr>
            <w:tcW w:type="dxa" w:w="3360"/>
            <w:vAlign w:val="center"/>
          </w:tcPr>
          <w:p>
            <w:r>
              <w:rPr>
                <w:sz w:val="18"/>
              </w:rPr>
              <w:t>0.750150069</w:t>
            </w:r>
          </w:p>
        </w:tc>
      </w:tr>
    </w:tbl>
    <w:p>
      <w:r>
        <w:t>At γ=0, only immediate rewards matter, so the agent is myopic. At γ=0.5, distant rewards are discounted substantially. At γ=0.999, future rewards receive much more weight. In these experiments, the greedy optimal policy remains unchanged, while values and convergence times differ. As γ approaches 1, the contraction bound becomes weaker and convergence can take more iterations. At γ=1, the standard discounted-MDP contraction guarantee no longer applies; additional conditions are needed, especially because the agent can stay in non-terminal states.</w:t>
      </w:r>
    </w:p>
    <w:p>
      <w:pPr>
        <w:pStyle w:val="Heading2"/>
      </w:pPr>
      <w:r>
        <w:t>5.2 Change the living reward to zero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sz w:val="18"/>
              </w:rPr>
              <w:t>Living reward</w:t>
            </w:r>
          </w:p>
        </w:tc>
        <w:tc>
          <w:tcPr>
            <w:tcW w:type="dxa" w:w="3360"/>
          </w:tcPr>
          <w:p>
            <w:r>
              <w:rPr>
                <w:b/>
                <w:sz w:val="18"/>
              </w:rPr>
              <w:t>Sweeps</w:t>
            </w:r>
          </w:p>
        </w:tc>
        <w:tc>
          <w:tcPr>
            <w:tcW w:type="dxa" w:w="3360"/>
          </w:tcPr>
          <w:p>
            <w:r>
              <w:rPr>
                <w:b/>
                <w:sz w:val="18"/>
              </w:rPr>
              <w:t>V*(0)</w:t>
            </w:r>
          </w:p>
        </w:tc>
      </w:tr>
      <w:tr>
        <w:tc>
          <w:tcPr>
            <w:tcW w:type="dxa" w:w="3360"/>
            <w:vAlign w:val="center"/>
          </w:tcPr>
          <w:p>
            <w:r>
              <w:rPr>
                <w:sz w:val="18"/>
              </w:rPr>
              <w:t>−0.01</w:t>
            </w:r>
          </w:p>
        </w:tc>
        <w:tc>
          <w:tcPr>
            <w:tcW w:type="dxa" w:w="3360"/>
            <w:vAlign w:val="center"/>
          </w:tcPr>
          <w:p>
            <w:r>
              <w:rPr>
                <w:sz w:val="18"/>
              </w:rPr>
              <w:t>72</w:t>
            </w:r>
          </w:p>
        </w:tc>
        <w:tc>
          <w:tcPr>
            <w:tcW w:type="dxa" w:w="3360"/>
            <w:vAlign w:val="center"/>
          </w:tcPr>
          <w:p>
            <w:r>
              <w:rPr>
                <w:sz w:val="18"/>
              </w:rPr>
              <w:t>0.034569003</w:t>
            </w:r>
          </w:p>
        </w:tc>
      </w:tr>
      <w:tr>
        <w:tc>
          <w:tcPr>
            <w:tcW w:type="dxa" w:w="3360"/>
            <w:vAlign w:val="center"/>
          </w:tcPr>
          <w:p>
            <w:r>
              <w:rPr>
                <w:sz w:val="18"/>
              </w:rPr>
              <w:t>0</w:t>
            </w:r>
          </w:p>
        </w:tc>
        <w:tc>
          <w:tcPr>
            <w:tcW w:type="dxa" w:w="3360"/>
            <w:vAlign w:val="center"/>
          </w:tcPr>
          <w:p>
            <w:r>
              <w:rPr>
                <w:sz w:val="18"/>
              </w:rPr>
              <w:t>73</w:t>
            </w:r>
          </w:p>
        </w:tc>
        <w:tc>
          <w:tcPr>
            <w:tcW w:type="dxa" w:w="3360"/>
            <w:vAlign w:val="center"/>
          </w:tcPr>
          <w:p>
            <w:r>
              <w:rPr>
                <w:sz w:val="18"/>
              </w:rPr>
              <w:t>0.122335462</w:t>
            </w:r>
          </w:p>
        </w:tc>
      </w:tr>
    </w:tbl>
    <w:p>
      <w:r>
        <w:t>Changing the living reward from −0.01 to 0 removes the penalty for ordinary steps. In this grid, the start-state optimal value increases and the greedy policy remains unchanged. This outcome depends on the specific grid and transition model; it is not a universal rule.</w:t>
      </w:r>
    </w:p>
    <w:p>
      <w:pPr>
        <w:pStyle w:val="Heading2"/>
      </w:pPr>
      <w:r>
        <w:t>5.3 If P and R are unknown</w:t>
      </w:r>
    </w:p>
    <w:p>
      <w:r>
        <w:t>When P and R are unknown, the agent cannot compute exact Bellman expectations from a known model. It instead interacts with the environment and observes samples (s,a,r,s′). Model-free methods include TD(0), Q-learning, and SARSA. Q-learning updates Q(s,a) toward r+γ max_a′Q(s′,a′); SARSA uses the action actually selected at the next state. An exploration method such as ε-greedy selection helps the agent discover better actions.</w:t>
      </w:r>
    </w:p>
    <w:p>
      <w:pPr>
        <w:pStyle w:val="Heading1"/>
      </w:pPr>
      <w:r>
        <w:t>Reproducibility and Implementation</w:t>
      </w:r>
    </w:p>
    <w:p>
      <w:r>
        <w:t>The accompanying single Python file implements the model and all requested numerical experiments. It prints the policy-evaluation values, all 64 Qπ entries, policy-iteration results, value-iteration results, exact-solution error, discount-factor comparisons, and the living-reward comparison. It also writes the convergence plot to RL_Assignment1_Convergence_Plot.png.</w:t>
      </w:r>
    </w:p>
    <w:p>
      <w:r>
        <w:t>Reproducibility settings: grid 4×4; holes {1,7,8,14}; goal 15; start 0; transition probability 0.25 intended and 0.75 stay; γ=0.9; normal reward −0.01; hole reward −1; goal reward +1; synchronous updates; θ=10⁻⁸.</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