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B4C10">
      <w:pPr>
        <w:spacing w:before="0" w:after="80"/>
        <w:jc w:val="center"/>
      </w:pPr>
      <w:r>
        <w:rPr>
          <w:rFonts w:ascii="Arial" w:hAnsi="Arial" w:eastAsia="Arial" w:cs="Arial"/>
          <w:b/>
          <w:bCs/>
          <w:sz w:val="28"/>
          <w:szCs w:val="28"/>
        </w:rPr>
        <w:t>Delinquency Risk — Business Summary Report</w:t>
      </w:r>
    </w:p>
    <w:p w14:paraId="18DD9644">
      <w:pPr>
        <w:spacing w:before="0" w:after="40"/>
        <w:jc w:val="center"/>
      </w:pPr>
      <w:r>
        <w:rPr>
          <w:rFonts w:ascii="Arial" w:hAnsi="Arial" w:eastAsia="Arial" w:cs="Arial"/>
          <w:color w:val="555555"/>
          <w:sz w:val="20"/>
          <w:szCs w:val="20"/>
        </w:rPr>
        <w:t>Prepared for: Head of Collections, Geldium Finance</w:t>
      </w:r>
    </w:p>
    <w:p w14:paraId="46284BE7">
      <w:pPr>
        <w:spacing w:before="0" w:after="40"/>
        <w:jc w:val="center"/>
      </w:pPr>
      <w:r>
        <w:rPr>
          <w:rFonts w:ascii="Arial" w:hAnsi="Arial" w:eastAsia="Arial" w:cs="Arial"/>
          <w:color w:val="555555"/>
          <w:sz w:val="20"/>
          <w:szCs w:val="20"/>
        </w:rPr>
        <w:t>Prepared by: Kavya Balaji</w:t>
      </w:r>
      <w:r>
        <w:rPr>
          <w:rFonts w:hint="default" w:cs="Arial"/>
          <w:color w:val="555555"/>
          <w:sz w:val="20"/>
          <w:szCs w:val="20"/>
          <w:lang w:val="en-US"/>
        </w:rPr>
        <w:t xml:space="preserve"> Singh</w:t>
      </w:r>
      <w:bookmarkStart w:id="0" w:name="_GoBack"/>
      <w:bookmarkEnd w:id="0"/>
      <w:r>
        <w:rPr>
          <w:rFonts w:ascii="Arial" w:hAnsi="Arial" w:eastAsia="Arial" w:cs="Arial"/>
          <w:color w:val="555555"/>
          <w:sz w:val="20"/>
          <w:szCs w:val="20"/>
        </w:rPr>
        <w:t>, AI Transformation Consultant, Tata iQ</w:t>
      </w:r>
    </w:p>
    <w:p w14:paraId="3E100579">
      <w:pPr>
        <w:pBdr>
          <w:bottom w:val="single" w:color="2E75B6" w:sz="6" w:space="1"/>
        </w:pBdr>
        <w:spacing w:before="40" w:after="180"/>
      </w:pPr>
    </w:p>
    <w:p w14:paraId="0D83579D">
      <w:pPr>
        <w:pStyle w:val="2"/>
        <w:pBdr>
          <w:bottom w:val="single" w:color="2E75B6" w:sz="4" w:space="1"/>
        </w:pBdr>
        <w:spacing w:before="220" w:after="100"/>
      </w:pPr>
      <w:r>
        <w:rPr>
          <w:rFonts w:ascii="Arial" w:hAnsi="Arial" w:eastAsia="Arial" w:cs="Arial"/>
          <w:b/>
          <w:bCs/>
          <w:sz w:val="24"/>
          <w:szCs w:val="24"/>
        </w:rPr>
        <w:t>1. Summary of Predictive Insights</w:t>
      </w:r>
    </w:p>
    <w:p w14:paraId="5F6686A3">
      <w:pPr>
        <w:spacing w:before="0" w:after="60"/>
      </w:pPr>
    </w:p>
    <w:p w14:paraId="3956075C">
      <w:pPr>
        <w:spacing w:before="60" w:after="80"/>
      </w:pPr>
      <w:r>
        <w:rPr>
          <w:rFonts w:ascii="Arial" w:hAnsi="Arial" w:eastAsia="Arial" w:cs="Arial"/>
          <w:sz w:val="22"/>
          <w:szCs w:val="22"/>
        </w:rPr>
        <w:t>Analysis of Geldium's 500-customer dataset, combined with the predictive model developed in Task 2, identified three customer segments and several behavioural patterns with a significantly elevated delinquency risk. The overall delinquency rate is 16%, but specific subgroups exceed this by a meaningful margin.</w:t>
      </w:r>
    </w:p>
    <w:p w14:paraId="3CA3A036">
      <w:pPr>
        <w:spacing w:before="0" w:after="60"/>
      </w:pPr>
    </w:p>
    <w:p w14:paraId="78470914">
      <w:pPr>
        <w:pStyle w:val="3"/>
        <w:spacing w:before="160" w:after="60"/>
      </w:pPr>
      <w:r>
        <w:rPr>
          <w:rFonts w:ascii="Arial" w:hAnsi="Arial" w:eastAsia="Arial" w:cs="Arial"/>
          <w:b/>
          <w:bCs/>
          <w:color w:val="2E75B6"/>
          <w:sz w:val="22"/>
          <w:szCs w:val="22"/>
        </w:rPr>
        <w:t>Top 3 Risk Factors</w:t>
      </w:r>
    </w:p>
    <w:p w14:paraId="3F1BEAF2">
      <w:pPr>
        <w:pStyle w:val="16"/>
        <w:numPr>
          <w:ilvl w:val="0"/>
          <w:numId w:val="1"/>
        </w:numPr>
        <w:spacing w:before="30" w:after="50"/>
      </w:pPr>
      <w:r>
        <w:rPr>
          <w:rFonts w:ascii="Arial" w:hAnsi="Arial" w:eastAsia="Arial" w:cs="Arial"/>
          <w:sz w:val="22"/>
          <w:szCs w:val="22"/>
        </w:rPr>
        <w:t>Debt-to-Income ratio above 40%: Customers in this band show an 18.9% delinquency rate. High DTI directly limits a customer's capacity to service existing debt when any additional financial pressure arises.</w:t>
      </w:r>
    </w:p>
    <w:p w14:paraId="6272D446">
      <w:pPr>
        <w:pStyle w:val="16"/>
        <w:numPr>
          <w:ilvl w:val="0"/>
          <w:numId w:val="1"/>
        </w:numPr>
        <w:spacing w:before="30" w:after="50"/>
      </w:pPr>
      <w:r>
        <w:rPr>
          <w:rFonts w:ascii="Arial" w:hAnsi="Arial" w:eastAsia="Arial" w:cs="Arial"/>
          <w:sz w:val="22"/>
          <w:szCs w:val="22"/>
        </w:rPr>
        <w:t>Unemployment: Unemployed customers showed the highest delinquency rate of any employment segment at 19.4%, compared to 11.5% for retired customers. Loss of regular income is the clearest single-factor driver of missed payments.</w:t>
      </w:r>
    </w:p>
    <w:p w14:paraId="3DAEA30B">
      <w:pPr>
        <w:pStyle w:val="16"/>
        <w:numPr>
          <w:ilvl w:val="0"/>
          <w:numId w:val="1"/>
        </w:numPr>
        <w:spacing w:before="30" w:after="50"/>
      </w:pPr>
      <w:r>
        <w:rPr>
          <w:rFonts w:ascii="Arial" w:hAnsi="Arial" w:eastAsia="Arial" w:cs="Arial"/>
          <w:sz w:val="22"/>
          <w:szCs w:val="22"/>
        </w:rPr>
        <w:t>Payment history deterioration: Customers with 3 or more missed payments in the past 12 months represent a strong early-warning signal. The payment history variables (Month_1 to Month_6) collectively capture whether a customer's behaviour is improving, stable, or deteriorating — a trajectory that matters as much as a single snapshot.</w:t>
      </w:r>
    </w:p>
    <w:p w14:paraId="5CE5C86F">
      <w:pPr>
        <w:spacing w:before="0" w:after="80"/>
      </w:pPr>
    </w:p>
    <w:p w14:paraId="0CF25291">
      <w:pPr>
        <w:pStyle w:val="3"/>
        <w:spacing w:before="160" w:after="60"/>
      </w:pPr>
      <w:r>
        <w:rPr>
          <w:rFonts w:ascii="Arial" w:hAnsi="Arial" w:eastAsia="Arial" w:cs="Arial"/>
          <w:b/>
          <w:bCs/>
          <w:color w:val="2E75B6"/>
          <w:sz w:val="22"/>
          <w:szCs w:val="22"/>
        </w:rPr>
        <w:t>Key Insights Summary</w:t>
      </w:r>
    </w:p>
    <w:p w14:paraId="4C5CD4E0">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2100"/>
        <w:gridCol w:w="3460"/>
      </w:tblGrid>
      <w:tr w14:paraId="119BF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tcBorders>
              <w:top w:val="single" w:color="CCCCCC" w:sz="0" w:space="0"/>
              <w:left w:val="single" w:color="CCCCCC" w:sz="0" w:space="0"/>
              <w:bottom w:val="single" w:color="CCCCCC" w:sz="0" w:space="0"/>
              <w:right w:val="single" w:color="CCCCCC" w:sz="0" w:space="0"/>
            </w:tcBorders>
            <w:shd w:val="clear" w:color="auto" w:fill="2E75B6"/>
            <w:tcMar>
              <w:top w:w="70" w:type="dxa"/>
              <w:left w:w="110" w:type="dxa"/>
              <w:bottom w:w="70" w:type="dxa"/>
              <w:right w:w="110" w:type="dxa"/>
            </w:tcMar>
          </w:tcPr>
          <w:p w14:paraId="215E8F8C">
            <w:pPr>
              <w:jc w:val="center"/>
            </w:pPr>
            <w:r>
              <w:rPr>
                <w:rFonts w:ascii="Arial" w:hAnsi="Arial" w:eastAsia="Arial" w:cs="Arial"/>
                <w:b/>
                <w:bCs/>
                <w:color w:val="FFFFFF"/>
                <w:sz w:val="18"/>
                <w:szCs w:val="18"/>
              </w:rPr>
              <w:t>Key Insight</w:t>
            </w:r>
          </w:p>
        </w:tc>
        <w:tc>
          <w:tcPr>
            <w:tcW w:w="1900" w:type="dxa"/>
            <w:tcBorders>
              <w:top w:val="single" w:color="CCCCCC" w:sz="0" w:space="0"/>
              <w:left w:val="single" w:color="CCCCCC" w:sz="0" w:space="0"/>
              <w:bottom w:val="single" w:color="CCCCCC" w:sz="0" w:space="0"/>
              <w:right w:val="single" w:color="CCCCCC" w:sz="0" w:space="0"/>
            </w:tcBorders>
            <w:shd w:val="clear" w:color="auto" w:fill="2E75B6"/>
            <w:tcMar>
              <w:top w:w="70" w:type="dxa"/>
              <w:left w:w="110" w:type="dxa"/>
              <w:bottom w:w="70" w:type="dxa"/>
              <w:right w:w="110" w:type="dxa"/>
            </w:tcMar>
          </w:tcPr>
          <w:p w14:paraId="729FB3C2">
            <w:pPr>
              <w:jc w:val="center"/>
            </w:pPr>
            <w:r>
              <w:rPr>
                <w:rFonts w:ascii="Arial" w:hAnsi="Arial" w:eastAsia="Arial" w:cs="Arial"/>
                <w:b/>
                <w:bCs/>
                <w:color w:val="FFFFFF"/>
                <w:sz w:val="18"/>
                <w:szCs w:val="18"/>
              </w:rPr>
              <w:t>Customer Segment</w:t>
            </w:r>
          </w:p>
        </w:tc>
        <w:tc>
          <w:tcPr>
            <w:tcW w:w="2100" w:type="dxa"/>
            <w:tcBorders>
              <w:top w:val="single" w:color="CCCCCC" w:sz="0" w:space="0"/>
              <w:left w:val="single" w:color="CCCCCC" w:sz="0" w:space="0"/>
              <w:bottom w:val="single" w:color="CCCCCC" w:sz="0" w:space="0"/>
              <w:right w:val="single" w:color="CCCCCC" w:sz="0" w:space="0"/>
            </w:tcBorders>
            <w:shd w:val="clear" w:color="auto" w:fill="2E75B6"/>
            <w:tcMar>
              <w:top w:w="70" w:type="dxa"/>
              <w:left w:w="110" w:type="dxa"/>
              <w:bottom w:w="70" w:type="dxa"/>
              <w:right w:w="110" w:type="dxa"/>
            </w:tcMar>
          </w:tcPr>
          <w:p w14:paraId="3888C350">
            <w:pPr>
              <w:jc w:val="center"/>
            </w:pPr>
            <w:r>
              <w:rPr>
                <w:rFonts w:ascii="Arial" w:hAnsi="Arial" w:eastAsia="Arial" w:cs="Arial"/>
                <w:b/>
                <w:bCs/>
                <w:color w:val="FFFFFF"/>
                <w:sz w:val="18"/>
                <w:szCs w:val="18"/>
              </w:rPr>
              <w:t>Influencing Variables</w:t>
            </w:r>
          </w:p>
        </w:tc>
        <w:tc>
          <w:tcPr>
            <w:tcW w:w="3460" w:type="dxa"/>
            <w:tcBorders>
              <w:top w:val="single" w:color="CCCCCC" w:sz="0" w:space="0"/>
              <w:left w:val="single" w:color="CCCCCC" w:sz="0" w:space="0"/>
              <w:bottom w:val="single" w:color="CCCCCC" w:sz="0" w:space="0"/>
              <w:right w:val="single" w:color="CCCCCC" w:sz="0" w:space="0"/>
            </w:tcBorders>
            <w:shd w:val="clear" w:color="auto" w:fill="2E75B6"/>
            <w:tcMar>
              <w:top w:w="70" w:type="dxa"/>
              <w:left w:w="110" w:type="dxa"/>
              <w:bottom w:w="70" w:type="dxa"/>
              <w:right w:w="110" w:type="dxa"/>
            </w:tcMar>
          </w:tcPr>
          <w:p w14:paraId="575863AF">
            <w:pPr>
              <w:jc w:val="center"/>
            </w:pPr>
            <w:r>
              <w:rPr>
                <w:rFonts w:ascii="Arial" w:hAnsi="Arial" w:eastAsia="Arial" w:cs="Arial"/>
                <w:b/>
                <w:bCs/>
                <w:color w:val="FFFFFF"/>
                <w:sz w:val="18"/>
                <w:szCs w:val="18"/>
              </w:rPr>
              <w:t>Potential Impact</w:t>
            </w:r>
          </w:p>
        </w:tc>
      </w:tr>
      <w:tr w14:paraId="24EA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D482C3D">
            <w:pPr>
              <w:spacing w:before="30" w:after="30"/>
            </w:pPr>
            <w:r>
              <w:rPr>
                <w:rFonts w:ascii="Arial" w:hAnsi="Arial" w:eastAsia="Arial" w:cs="Arial"/>
                <w:sz w:val="19"/>
                <w:szCs w:val="19"/>
              </w:rPr>
              <w:t>Unemployed customers are the highest-risk employment group</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8AF323E">
            <w:pPr>
              <w:spacing w:before="30" w:after="30"/>
            </w:pPr>
            <w:r>
              <w:rPr>
                <w:rFonts w:ascii="Arial" w:hAnsi="Arial" w:eastAsia="Arial" w:cs="Arial"/>
                <w:sz w:val="19"/>
                <w:szCs w:val="19"/>
              </w:rPr>
              <w:t>Unemployed (93 customers, 18.6% of dataset)</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5EC73C9C">
            <w:pPr>
              <w:spacing w:before="30" w:after="30"/>
            </w:pPr>
            <w:r>
              <w:rPr>
                <w:rFonts w:ascii="Arial" w:hAnsi="Arial" w:eastAsia="Arial" w:cs="Arial"/>
                <w:sz w:val="19"/>
                <w:szCs w:val="19"/>
              </w:rPr>
              <w:t>Employment_Status, Income, DTI Ratio</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DAB799E">
            <w:pPr>
              <w:spacing w:before="30" w:after="30"/>
            </w:pPr>
            <w:r>
              <w:rPr>
                <w:rFonts w:ascii="Arial" w:hAnsi="Arial" w:eastAsia="Arial" w:cs="Arial"/>
                <w:sz w:val="19"/>
                <w:szCs w:val="19"/>
              </w:rPr>
              <w:t>Prioritise this group for early outreach; proactive contact before 30-day threshold</w:t>
            </w:r>
          </w:p>
        </w:tc>
      </w:tr>
      <w:tr w14:paraId="5785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70" w:type="dxa"/>
              <w:left w:w="110" w:type="dxa"/>
              <w:bottom w:w="70" w:type="dxa"/>
              <w:right w:w="110" w:type="dxa"/>
            </w:tcMar>
          </w:tcPr>
          <w:p w14:paraId="3DF08437">
            <w:pPr>
              <w:spacing w:before="30" w:after="30"/>
            </w:pPr>
            <w:r>
              <w:rPr>
                <w:rFonts w:ascii="Arial" w:hAnsi="Arial" w:eastAsia="Arial" w:cs="Arial"/>
                <w:sz w:val="19"/>
                <w:szCs w:val="19"/>
              </w:rPr>
              <w:t>Business and Student cardholders show above-average delinquency</w:t>
            </w:r>
          </w:p>
        </w:tc>
        <w:tc>
          <w:tcPr>
            <w:tcW w:w="1900" w:type="dxa"/>
            <w:tcBorders>
              <w:top w:val="single" w:color="CCCCCC" w:sz="0" w:space="0"/>
              <w:left w:val="single" w:color="CCCCCC" w:sz="0" w:space="0"/>
              <w:bottom w:val="single" w:color="CCCCCC" w:sz="0" w:space="0"/>
              <w:right w:val="single" w:color="CCCCCC" w:sz="0" w:space="0"/>
            </w:tcBorders>
            <w:shd w:val="clear" w:color="auto" w:fill="EEF4FB"/>
            <w:tcMar>
              <w:top w:w="70" w:type="dxa"/>
              <w:left w:w="110" w:type="dxa"/>
              <w:bottom w:w="70" w:type="dxa"/>
              <w:right w:w="110" w:type="dxa"/>
            </w:tcMar>
          </w:tcPr>
          <w:p w14:paraId="7DA92798">
            <w:pPr>
              <w:spacing w:before="30" w:after="30"/>
            </w:pPr>
            <w:r>
              <w:rPr>
                <w:rFonts w:ascii="Arial" w:hAnsi="Arial" w:eastAsia="Arial" w:cs="Arial"/>
                <w:sz w:val="19"/>
                <w:szCs w:val="19"/>
              </w:rPr>
              <w:t>Business card (21.3%), Student card (17.9%)</w:t>
            </w:r>
          </w:p>
        </w:tc>
        <w:tc>
          <w:tcPr>
            <w:tcW w:w="2100" w:type="dxa"/>
            <w:tcBorders>
              <w:top w:val="single" w:color="CCCCCC" w:sz="0" w:space="0"/>
              <w:left w:val="single" w:color="CCCCCC" w:sz="0" w:space="0"/>
              <w:bottom w:val="single" w:color="CCCCCC" w:sz="0" w:space="0"/>
              <w:right w:val="single" w:color="CCCCCC" w:sz="0" w:space="0"/>
            </w:tcBorders>
            <w:shd w:val="clear" w:color="auto" w:fill="EEF4FB"/>
            <w:tcMar>
              <w:top w:w="70" w:type="dxa"/>
              <w:left w:w="110" w:type="dxa"/>
              <w:bottom w:w="70" w:type="dxa"/>
              <w:right w:w="110" w:type="dxa"/>
            </w:tcMar>
          </w:tcPr>
          <w:p w14:paraId="238C88F0">
            <w:pPr>
              <w:spacing w:before="30" w:after="30"/>
            </w:pPr>
            <w:r>
              <w:rPr>
                <w:rFonts w:ascii="Arial" w:hAnsi="Arial" w:eastAsia="Arial" w:cs="Arial"/>
                <w:sz w:val="19"/>
                <w:szCs w:val="19"/>
              </w:rPr>
              <w:t>Credit_Card_Type, Missed_Payments, Credit_Utilization</w:t>
            </w:r>
          </w:p>
        </w:tc>
        <w:tc>
          <w:tcPr>
            <w:tcW w:w="3460" w:type="dxa"/>
            <w:tcBorders>
              <w:top w:val="single" w:color="CCCCCC" w:sz="0" w:space="0"/>
              <w:left w:val="single" w:color="CCCCCC" w:sz="0" w:space="0"/>
              <w:bottom w:val="single" w:color="CCCCCC" w:sz="0" w:space="0"/>
              <w:right w:val="single" w:color="CCCCCC" w:sz="0" w:space="0"/>
            </w:tcBorders>
            <w:shd w:val="clear" w:color="auto" w:fill="EEF4FB"/>
            <w:tcMar>
              <w:top w:w="70" w:type="dxa"/>
              <w:left w:w="110" w:type="dxa"/>
              <w:bottom w:w="70" w:type="dxa"/>
              <w:right w:w="110" w:type="dxa"/>
            </w:tcMar>
          </w:tcPr>
          <w:p w14:paraId="13777C41">
            <w:pPr>
              <w:spacing w:before="30" w:after="30"/>
            </w:pPr>
            <w:r>
              <w:rPr>
                <w:rFonts w:ascii="Arial" w:hAnsi="Arial" w:eastAsia="Arial" w:cs="Arial"/>
                <w:sz w:val="19"/>
                <w:szCs w:val="19"/>
              </w:rPr>
              <w:t>Card-type targeted intervention; Student card holders may benefit from financial guidance</w:t>
            </w:r>
          </w:p>
        </w:tc>
      </w:tr>
      <w:tr w14:paraId="7D4C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13D2D1B">
            <w:pPr>
              <w:spacing w:before="30" w:after="30"/>
            </w:pPr>
            <w:r>
              <w:rPr>
                <w:rFonts w:ascii="Arial" w:hAnsi="Arial" w:eastAsia="Arial" w:cs="Arial"/>
                <w:sz w:val="19"/>
                <w:szCs w:val="19"/>
              </w:rPr>
              <w:t>Mid-career customers (46–60) are the highest-risk age band</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5773B85">
            <w:pPr>
              <w:spacing w:before="30" w:after="30"/>
            </w:pPr>
            <w:r>
              <w:rPr>
                <w:rFonts w:ascii="Arial" w:hAnsi="Arial" w:eastAsia="Arial" w:cs="Arial"/>
                <w:sz w:val="19"/>
                <w:szCs w:val="19"/>
              </w:rPr>
              <w:t>Customers aged 46–60 (21.7% delinquency rate)</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626C65BF">
            <w:pPr>
              <w:spacing w:before="30" w:after="30"/>
            </w:pPr>
            <w:r>
              <w:rPr>
                <w:rFonts w:ascii="Arial" w:hAnsi="Arial" w:eastAsia="Arial" w:cs="Arial"/>
                <w:sz w:val="19"/>
                <w:szCs w:val="19"/>
              </w:rPr>
              <w:t>Age, Loan_Balance, DTI_Ratio</w:t>
            </w:r>
          </w:p>
        </w:tc>
        <w:tc>
          <w:tcPr>
            <w:tcW w:w="34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3B94D7E1">
            <w:pPr>
              <w:spacing w:before="30" w:after="30"/>
            </w:pPr>
            <w:r>
              <w:rPr>
                <w:rFonts w:ascii="Arial" w:hAnsi="Arial" w:eastAsia="Arial" w:cs="Arial"/>
                <w:sz w:val="19"/>
                <w:szCs w:val="19"/>
              </w:rPr>
              <w:t>This segment may carry higher obligations; targeted payment plan offers could reduce risk</w:t>
            </w:r>
          </w:p>
        </w:tc>
      </w:tr>
    </w:tbl>
    <w:p w14:paraId="5A4CDB25">
      <w:pPr>
        <w:spacing w:before="0" w:after="80"/>
      </w:pPr>
    </w:p>
    <w:p w14:paraId="234E481F">
      <w:pPr>
        <w:pStyle w:val="2"/>
        <w:pBdr>
          <w:bottom w:val="single" w:color="2E75B6" w:sz="4" w:space="1"/>
        </w:pBdr>
        <w:spacing w:before="220" w:after="100"/>
      </w:pPr>
      <w:r>
        <w:rPr>
          <w:rFonts w:ascii="Arial" w:hAnsi="Arial" w:eastAsia="Arial" w:cs="Arial"/>
          <w:b/>
          <w:bCs/>
          <w:sz w:val="24"/>
          <w:szCs w:val="24"/>
        </w:rPr>
        <w:t>2. Recommendation Framework</w:t>
      </w:r>
    </w:p>
    <w:p w14:paraId="1D779534">
      <w:pPr>
        <w:spacing w:before="0" w:after="60"/>
      </w:pPr>
    </w:p>
    <w:p w14:paraId="442207D9">
      <w:pPr>
        <w:pStyle w:val="3"/>
        <w:spacing w:before="160" w:after="60"/>
      </w:pPr>
      <w:r>
        <w:rPr>
          <w:rFonts w:ascii="Arial" w:hAnsi="Arial" w:eastAsia="Arial" w:cs="Arial"/>
          <w:b/>
          <w:bCs/>
          <w:color w:val="2E75B6"/>
          <w:sz w:val="22"/>
          <w:szCs w:val="22"/>
        </w:rPr>
        <w:t>Restated Insight</w:t>
      </w:r>
    </w:p>
    <w:p w14:paraId="26419D1D">
      <w:pPr>
        <w:spacing w:before="60" w:after="80"/>
      </w:pPr>
      <w:r>
        <w:rPr>
          <w:rFonts w:ascii="Arial" w:hAnsi="Arial" w:eastAsia="Arial" w:cs="Arial"/>
          <w:sz w:val="22"/>
          <w:szCs w:val="22"/>
        </w:rPr>
        <w:t>Unemployed customers represent 18.6% of Geldium's customer base and carry the highest delinquency rate of any employment segment (19.4%). This group is identifiable in advance through the Employment_Status field, making them an actionable and well-defined target for proactive intervention before payments are missed.</w:t>
      </w:r>
    </w:p>
    <w:p w14:paraId="04B8178B">
      <w:pPr>
        <w:spacing w:before="0" w:after="60"/>
      </w:pPr>
    </w:p>
    <w:p w14:paraId="5DEF8446">
      <w:pPr>
        <w:pStyle w:val="3"/>
        <w:spacing w:before="160" w:after="60"/>
      </w:pPr>
      <w:r>
        <w:rPr>
          <w:rFonts w:ascii="Arial" w:hAnsi="Arial" w:eastAsia="Arial" w:cs="Arial"/>
          <w:b/>
          <w:bCs/>
          <w:color w:val="2E75B6"/>
          <w:sz w:val="22"/>
          <w:szCs w:val="22"/>
        </w:rPr>
        <w:t>SMART Recommendation</w:t>
      </w:r>
    </w:p>
    <w:p w14:paraId="7C4A3CC3">
      <w:pPr>
        <w:spacing w:before="60" w:after="80"/>
      </w:pPr>
      <w:r>
        <w:rPr>
          <w:rFonts w:ascii="Arial" w:hAnsi="Arial" w:eastAsia="Arial" w:cs="Arial"/>
          <w:b/>
          <w:bCs/>
          <w:sz w:val="22"/>
          <w:szCs w:val="22"/>
        </w:rPr>
        <w:t>Launch a targeted 6-week early-intervention outreach programme for unemployed customers with a DTI ratio above 35%, with the goal of reducing 30-day delinquency in this segment by 15% within one quarter.</w:t>
      </w:r>
    </w:p>
    <w:p w14:paraId="7D65F42A">
      <w:pPr>
        <w:spacing w:before="0" w:after="40"/>
      </w:pPr>
    </w:p>
    <w:p w14:paraId="36C068B7">
      <w:pPr>
        <w:pStyle w:val="16"/>
        <w:numPr>
          <w:ilvl w:val="0"/>
          <w:numId w:val="1"/>
        </w:numPr>
        <w:spacing w:before="30" w:after="50"/>
      </w:pPr>
      <w:r>
        <w:rPr>
          <w:rFonts w:ascii="Arial" w:hAnsi="Arial" w:eastAsia="Arial" w:cs="Arial"/>
          <w:b/>
          <w:bCs/>
          <w:sz w:val="22"/>
          <w:szCs w:val="22"/>
        </w:rPr>
        <w:t xml:space="preserve">Contact unemployed customers with DTI &gt; 35% via SMS and email before their next payment due date. Offer a dedicated support pathway including a hardship payment deferral option and access to a financial guidance resource.: </w:t>
      </w:r>
      <w:r>
        <w:rPr>
          <w:rFonts w:ascii="Arial" w:hAnsi="Arial" w:eastAsia="Arial" w:cs="Arial"/>
          <w:sz w:val="22"/>
          <w:szCs w:val="22"/>
        </w:rPr>
        <w:t>Specific</w:t>
      </w:r>
    </w:p>
    <w:p w14:paraId="420E7F65">
      <w:pPr>
        <w:pStyle w:val="16"/>
        <w:numPr>
          <w:ilvl w:val="0"/>
          <w:numId w:val="1"/>
        </w:numPr>
        <w:spacing w:before="30" w:after="50"/>
      </w:pPr>
      <w:r>
        <w:rPr>
          <w:rFonts w:ascii="Arial" w:hAnsi="Arial" w:eastAsia="Arial" w:cs="Arial"/>
          <w:b/>
          <w:bCs/>
          <w:sz w:val="22"/>
          <w:szCs w:val="22"/>
        </w:rPr>
        <w:t xml:space="preserve">Track 30-day delinquency rate in this segment before and after the programme. Target: 15% reduction in missed payments within 90 days of launch.: </w:t>
      </w:r>
      <w:r>
        <w:rPr>
          <w:rFonts w:ascii="Arial" w:hAnsi="Arial" w:eastAsia="Arial" w:cs="Arial"/>
          <w:sz w:val="22"/>
          <w:szCs w:val="22"/>
        </w:rPr>
        <w:t>Measurable</w:t>
      </w:r>
    </w:p>
    <w:p w14:paraId="73E0148F">
      <w:pPr>
        <w:pStyle w:val="16"/>
        <w:numPr>
          <w:ilvl w:val="0"/>
          <w:numId w:val="1"/>
        </w:numPr>
        <w:spacing w:before="30" w:after="50"/>
      </w:pPr>
      <w:r>
        <w:rPr>
          <w:rFonts w:ascii="Arial" w:hAnsi="Arial" w:eastAsia="Arial" w:cs="Arial"/>
          <w:b/>
          <w:bCs/>
          <w:sz w:val="22"/>
          <w:szCs w:val="22"/>
        </w:rPr>
        <w:t xml:space="preserve">The programme can be implemented using existing customer contact data and collections team capacity. The Employment_Status and DTI fields are already present in the dataset and can be used to generate the outreach list directly.: </w:t>
      </w:r>
      <w:r>
        <w:rPr>
          <w:rFonts w:ascii="Arial" w:hAnsi="Arial" w:eastAsia="Arial" w:cs="Arial"/>
          <w:sz w:val="22"/>
          <w:szCs w:val="22"/>
        </w:rPr>
        <w:t>Actionable</w:t>
      </w:r>
    </w:p>
    <w:p w14:paraId="36EBA2B0">
      <w:pPr>
        <w:pStyle w:val="16"/>
        <w:numPr>
          <w:ilvl w:val="0"/>
          <w:numId w:val="1"/>
        </w:numPr>
        <w:spacing w:before="30" w:after="50"/>
      </w:pPr>
      <w:r>
        <w:rPr>
          <w:rFonts w:ascii="Arial" w:hAnsi="Arial" w:eastAsia="Arial" w:cs="Arial"/>
          <w:b/>
          <w:bCs/>
          <w:sz w:val="22"/>
          <w:szCs w:val="22"/>
        </w:rPr>
        <w:t xml:space="preserve">This recommendation directly targets the highest-risk, most identifiable segment in the dataset. It moves the Collections team from reactive case handling to structured early intervention.: </w:t>
      </w:r>
      <w:r>
        <w:rPr>
          <w:rFonts w:ascii="Arial" w:hAnsi="Arial" w:eastAsia="Arial" w:cs="Arial"/>
          <w:sz w:val="22"/>
          <w:szCs w:val="22"/>
        </w:rPr>
        <w:t>Relevant</w:t>
      </w:r>
    </w:p>
    <w:p w14:paraId="55EAB904">
      <w:pPr>
        <w:pStyle w:val="16"/>
        <w:numPr>
          <w:ilvl w:val="0"/>
          <w:numId w:val="1"/>
        </w:numPr>
        <w:spacing w:before="30" w:after="50"/>
      </w:pPr>
      <w:r>
        <w:rPr>
          <w:rFonts w:ascii="Arial" w:hAnsi="Arial" w:eastAsia="Arial" w:cs="Arial"/>
          <w:b/>
          <w:bCs/>
          <w:sz w:val="22"/>
          <w:szCs w:val="22"/>
        </w:rPr>
        <w:t xml:space="preserve">Pilot launch within 4 weeks of model deployment. Review results at week 6 and assess whether to expand to the broader at-risk population.: </w:t>
      </w:r>
      <w:r>
        <w:rPr>
          <w:rFonts w:ascii="Arial" w:hAnsi="Arial" w:eastAsia="Arial" w:cs="Arial"/>
          <w:sz w:val="22"/>
          <w:szCs w:val="22"/>
        </w:rPr>
        <w:t>Time-bound</w:t>
      </w:r>
    </w:p>
    <w:p w14:paraId="06FEFB1D">
      <w:pPr>
        <w:spacing w:before="0" w:after="60"/>
      </w:pPr>
    </w:p>
    <w:p w14:paraId="30051563">
      <w:pPr>
        <w:pStyle w:val="3"/>
        <w:spacing w:before="160" w:after="60"/>
      </w:pPr>
      <w:r>
        <w:rPr>
          <w:rFonts w:ascii="Arial" w:hAnsi="Arial" w:eastAsia="Arial" w:cs="Arial"/>
          <w:b/>
          <w:bCs/>
          <w:color w:val="2E75B6"/>
          <w:sz w:val="22"/>
          <w:szCs w:val="22"/>
        </w:rPr>
        <w:t>Justification</w:t>
      </w:r>
    </w:p>
    <w:p w14:paraId="25626ED2">
      <w:pPr>
        <w:spacing w:before="60" w:after="80"/>
      </w:pPr>
      <w:r>
        <w:rPr>
          <w:rFonts w:ascii="Arial" w:hAnsi="Arial" w:eastAsia="Arial" w:cs="Arial"/>
          <w:sz w:val="22"/>
          <w:szCs w:val="22"/>
        </w:rPr>
        <w:t>This recommendation was selected over alternatives (such as credit limit reductions or broad SMS campaigns) because it is the most targeted, cost-effective, and least disruptive option. Focusing on a clearly defined high-risk segment avoids unnecessary contact with lower-risk customers, preserving customer relationships. Offering support rather than restrictions aligns with responsible lending principles and is more likely to result in repayment than punitive measures alone. The approach is also scalable — if the pilot shows positive results, the same logic can be extended to other high-risk segments identified by the model.</w:t>
      </w:r>
    </w:p>
    <w:p w14:paraId="09DE2F17">
      <w:pPr>
        <w:spacing w:before="0" w:after="80"/>
      </w:pPr>
    </w:p>
    <w:p w14:paraId="7FC5F3FC">
      <w:pPr>
        <w:pStyle w:val="2"/>
        <w:pBdr>
          <w:bottom w:val="single" w:color="2E75B6" w:sz="4" w:space="1"/>
        </w:pBdr>
        <w:spacing w:before="220" w:after="100"/>
      </w:pPr>
      <w:r>
        <w:rPr>
          <w:rFonts w:ascii="Arial" w:hAnsi="Arial" w:eastAsia="Arial" w:cs="Arial"/>
          <w:b/>
          <w:bCs/>
          <w:sz w:val="24"/>
          <w:szCs w:val="24"/>
        </w:rPr>
        <w:t>3. Ethical and Responsible AI Considerations</w:t>
      </w:r>
    </w:p>
    <w:p w14:paraId="7B116A8C">
      <w:pPr>
        <w:spacing w:before="0" w:after="60"/>
      </w:pPr>
    </w:p>
    <w:p w14:paraId="19C9FEF1">
      <w:pPr>
        <w:pStyle w:val="3"/>
        <w:spacing w:before="160" w:after="60"/>
      </w:pPr>
      <w:r>
        <w:rPr>
          <w:rFonts w:ascii="Arial" w:hAnsi="Arial" w:eastAsia="Arial" w:cs="Arial"/>
          <w:b/>
          <w:bCs/>
          <w:color w:val="2E75B6"/>
          <w:sz w:val="22"/>
          <w:szCs w:val="22"/>
        </w:rPr>
        <w:t>Fairness Risks and Mitigations</w:t>
      </w:r>
    </w:p>
    <w:p w14:paraId="5A092B16">
      <w:pPr>
        <w:spacing w:before="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gridCol w:w="4360"/>
      </w:tblGrid>
      <w:tr w14:paraId="5F24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70" w:type="dxa"/>
              <w:left w:w="110" w:type="dxa"/>
              <w:bottom w:w="70" w:type="dxa"/>
              <w:right w:w="110" w:type="dxa"/>
            </w:tcMar>
          </w:tcPr>
          <w:p w14:paraId="00C6CA76">
            <w:pPr>
              <w:jc w:val="center"/>
            </w:pPr>
            <w:r>
              <w:rPr>
                <w:rFonts w:ascii="Arial" w:hAnsi="Arial" w:eastAsia="Arial" w:cs="Arial"/>
                <w:b/>
                <w:bCs/>
                <w:color w:val="FFFFFF"/>
                <w:sz w:val="18"/>
                <w:szCs w:val="18"/>
              </w:rPr>
              <w:t>Fairness Risk</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70" w:type="dxa"/>
              <w:left w:w="110" w:type="dxa"/>
              <w:bottom w:w="70" w:type="dxa"/>
              <w:right w:w="110" w:type="dxa"/>
            </w:tcMar>
          </w:tcPr>
          <w:p w14:paraId="58689865">
            <w:pPr>
              <w:jc w:val="center"/>
            </w:pPr>
            <w:r>
              <w:rPr>
                <w:rFonts w:ascii="Arial" w:hAnsi="Arial" w:eastAsia="Arial" w:cs="Arial"/>
                <w:b/>
                <w:bCs/>
                <w:color w:val="FFFFFF"/>
                <w:sz w:val="18"/>
                <w:szCs w:val="18"/>
              </w:rPr>
              <w:t>Description</w:t>
            </w:r>
          </w:p>
        </w:tc>
        <w:tc>
          <w:tcPr>
            <w:tcW w:w="4360" w:type="dxa"/>
            <w:tcBorders>
              <w:top w:val="single" w:color="CCCCCC" w:sz="0" w:space="0"/>
              <w:left w:val="single" w:color="CCCCCC" w:sz="0" w:space="0"/>
              <w:bottom w:val="single" w:color="CCCCCC" w:sz="0" w:space="0"/>
              <w:right w:val="single" w:color="CCCCCC" w:sz="0" w:space="0"/>
            </w:tcBorders>
            <w:shd w:val="clear" w:color="auto" w:fill="2E75B6"/>
            <w:tcMar>
              <w:top w:w="70" w:type="dxa"/>
              <w:left w:w="110" w:type="dxa"/>
              <w:bottom w:w="70" w:type="dxa"/>
              <w:right w:w="110" w:type="dxa"/>
            </w:tcMar>
          </w:tcPr>
          <w:p w14:paraId="3F12AC20">
            <w:pPr>
              <w:jc w:val="center"/>
            </w:pPr>
            <w:r>
              <w:rPr>
                <w:rFonts w:ascii="Arial" w:hAnsi="Arial" w:eastAsia="Arial" w:cs="Arial"/>
                <w:b/>
                <w:bCs/>
                <w:color w:val="FFFFFF"/>
                <w:sz w:val="18"/>
                <w:szCs w:val="18"/>
              </w:rPr>
              <w:t>Mitigation</w:t>
            </w:r>
          </w:p>
        </w:tc>
      </w:tr>
      <w:tr w14:paraId="2B0F8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2A7B8B2A">
            <w:pPr>
              <w:spacing w:before="30" w:after="30"/>
            </w:pPr>
            <w:r>
              <w:rPr>
                <w:rFonts w:ascii="Arial" w:hAnsi="Arial" w:eastAsia="Arial" w:cs="Arial"/>
                <w:sz w:val="19"/>
                <w:szCs w:val="19"/>
              </w:rPr>
              <w:t>Age-based proxy bias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40CFBDEB">
            <w:pPr>
              <w:spacing w:before="30" w:after="30"/>
            </w:pPr>
            <w:r>
              <w:rPr>
                <w:rFonts w:ascii="Arial" w:hAnsi="Arial" w:eastAsia="Arial" w:cs="Arial"/>
                <w:sz w:val="19"/>
                <w:szCs w:val="19"/>
              </w:rPr>
              <w:t>The model identified 46–60 year-olds as the highest-risk age band. If Age is acting as a proxy for other demographic characteristics (e.g., family status, mortgage obligations), using it directly could constitute indirect discrimination.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10" w:type="dxa"/>
              <w:bottom w:w="70" w:type="dxa"/>
              <w:right w:w="110" w:type="dxa"/>
            </w:tcMar>
          </w:tcPr>
          <w:p w14:paraId="7AD3058D">
            <w:pPr>
              <w:spacing w:before="30" w:after="30"/>
            </w:pPr>
            <w:r>
              <w:rPr>
                <w:rFonts w:ascii="Arial" w:hAnsi="Arial" w:eastAsia="Arial" w:cs="Arial"/>
                <w:sz w:val="19"/>
                <w:szCs w:val="19"/>
              </w:rPr>
              <w:t>Monitor SHAP values for Age. If Age contributes disproportionately to predictions without a clear financial rationale, remove it from the production model and replace it with the underlying financial signals (DTI, loan balance) instead.</w:t>
            </w:r>
          </w:p>
        </w:tc>
      </w:tr>
      <w:tr w14:paraId="2E61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4FB"/>
            <w:tcMar>
              <w:top w:w="70" w:type="dxa"/>
              <w:left w:w="110" w:type="dxa"/>
              <w:bottom w:w="70" w:type="dxa"/>
              <w:right w:w="110" w:type="dxa"/>
            </w:tcMar>
          </w:tcPr>
          <w:p w14:paraId="5EEBFF3F">
            <w:pPr>
              <w:spacing w:before="30" w:after="30"/>
            </w:pPr>
            <w:r>
              <w:rPr>
                <w:rFonts w:ascii="Arial" w:hAnsi="Arial" w:eastAsia="Arial" w:cs="Arial"/>
                <w:sz w:val="19"/>
                <w:szCs w:val="19"/>
              </w:rPr>
              <w:t>Employment status as socioeconomic proxy</w:t>
            </w:r>
          </w:p>
        </w:tc>
        <w:tc>
          <w:tcPr>
            <w:tcW w:w="3200" w:type="dxa"/>
            <w:tcBorders>
              <w:top w:val="single" w:color="CCCCCC" w:sz="0" w:space="0"/>
              <w:left w:val="single" w:color="CCCCCC" w:sz="0" w:space="0"/>
              <w:bottom w:val="single" w:color="CCCCCC" w:sz="0" w:space="0"/>
              <w:right w:val="single" w:color="CCCCCC" w:sz="0" w:space="0"/>
            </w:tcBorders>
            <w:shd w:val="clear" w:color="auto" w:fill="EEF4FB"/>
            <w:tcMar>
              <w:top w:w="70" w:type="dxa"/>
              <w:left w:w="110" w:type="dxa"/>
              <w:bottom w:w="70" w:type="dxa"/>
              <w:right w:w="110" w:type="dxa"/>
            </w:tcMar>
          </w:tcPr>
          <w:p w14:paraId="020DC169">
            <w:pPr>
              <w:spacing w:before="30" w:after="30"/>
            </w:pPr>
            <w:r>
              <w:rPr>
                <w:rFonts w:ascii="Arial" w:hAnsi="Arial" w:eastAsia="Arial" w:cs="Arial"/>
                <w:sz w:val="19"/>
                <w:szCs w:val="19"/>
              </w:rPr>
              <w:t>Flagging unemployed customers as high-risk at a higher rate may result in collections outreach that disproportionately targets lower-income or economically vulnerable individuals, creating a compounding burden on customers already under financial stress.</w:t>
            </w:r>
          </w:p>
        </w:tc>
        <w:tc>
          <w:tcPr>
            <w:tcW w:w="4360" w:type="dxa"/>
            <w:tcBorders>
              <w:top w:val="single" w:color="CCCCCC" w:sz="0" w:space="0"/>
              <w:left w:val="single" w:color="CCCCCC" w:sz="0" w:space="0"/>
              <w:bottom w:val="single" w:color="CCCCCC" w:sz="0" w:space="0"/>
              <w:right w:val="single" w:color="CCCCCC" w:sz="0" w:space="0"/>
            </w:tcBorders>
            <w:shd w:val="clear" w:color="auto" w:fill="EEF4FB"/>
            <w:tcMar>
              <w:top w:w="70" w:type="dxa"/>
              <w:left w:w="110" w:type="dxa"/>
              <w:bottom w:w="70" w:type="dxa"/>
              <w:right w:w="110" w:type="dxa"/>
            </w:tcMar>
          </w:tcPr>
          <w:p w14:paraId="4AEC9437">
            <w:pPr>
              <w:spacing w:before="30" w:after="30"/>
            </w:pPr>
            <w:r>
              <w:rPr>
                <w:rFonts w:ascii="Arial" w:hAnsi="Arial" w:eastAsia="Arial" w:cs="Arial"/>
                <w:sz w:val="19"/>
                <w:szCs w:val="19"/>
              </w:rPr>
              <w:t>Ensure the intervention for unemployed customers is supportive (hardship options, guidance) rather than punitive (limit reductions, escalation). Conduct a quarterly review of actual vs. predicted delinquency rates by employment group to confirm the model is not over-flagging.</w:t>
            </w:r>
          </w:p>
        </w:tc>
      </w:tr>
    </w:tbl>
    <w:p w14:paraId="043CE8BA">
      <w:pPr>
        <w:spacing w:before="0" w:after="80"/>
      </w:pPr>
    </w:p>
    <w:p w14:paraId="4F476BF4">
      <w:pPr>
        <w:pStyle w:val="3"/>
        <w:spacing w:before="160" w:after="60"/>
      </w:pPr>
      <w:r>
        <w:rPr>
          <w:rFonts w:ascii="Arial" w:hAnsi="Arial" w:eastAsia="Arial" w:cs="Arial"/>
          <w:b/>
          <w:bCs/>
          <w:color w:val="2E75B6"/>
          <w:sz w:val="22"/>
          <w:szCs w:val="22"/>
        </w:rPr>
        <w:t>Explainability</w:t>
      </w:r>
    </w:p>
    <w:p w14:paraId="6103FF83">
      <w:pPr>
        <w:spacing w:before="60" w:after="80"/>
      </w:pPr>
      <w:r>
        <w:rPr>
          <w:rFonts w:ascii="Arial" w:hAnsi="Arial" w:eastAsia="Arial" w:cs="Arial"/>
          <w:sz w:val="22"/>
          <w:szCs w:val="22"/>
        </w:rPr>
        <w:t>The XGBoost model selected in Task 2 uses SHAP values to generate plain-language explanations for each prediction. For example, a collections agent reviewing a flagged customer would see: 'This customer has been flagged as high-risk primarily due to a high debt-to-income ratio and two missed payments in the past three months.' This allows staff to exercise judgement and avoids treating AI output as an unquestioned instruction.</w:t>
      </w:r>
    </w:p>
    <w:p w14:paraId="72C5F3DB">
      <w:pPr>
        <w:spacing w:before="0" w:after="60"/>
      </w:pPr>
    </w:p>
    <w:p w14:paraId="3D382D99">
      <w:pPr>
        <w:pStyle w:val="3"/>
        <w:spacing w:before="160" w:after="60"/>
      </w:pPr>
      <w:r>
        <w:rPr>
          <w:rFonts w:ascii="Arial" w:hAnsi="Arial" w:eastAsia="Arial" w:cs="Arial"/>
          <w:b/>
          <w:bCs/>
          <w:color w:val="2E75B6"/>
          <w:sz w:val="22"/>
          <w:szCs w:val="22"/>
        </w:rPr>
        <w:t>Responsible AI Principles</w:t>
      </w:r>
    </w:p>
    <w:p w14:paraId="145DA80F">
      <w:pPr>
        <w:pStyle w:val="16"/>
        <w:numPr>
          <w:ilvl w:val="0"/>
          <w:numId w:val="1"/>
        </w:numPr>
        <w:spacing w:before="30" w:after="50"/>
      </w:pPr>
      <w:r>
        <w:rPr>
          <w:rFonts w:ascii="Arial" w:hAnsi="Arial" w:eastAsia="Arial" w:cs="Arial"/>
          <w:sz w:val="22"/>
          <w:szCs w:val="22"/>
        </w:rPr>
        <w:t>Human oversight: The model is a decision-support tool. Collections staff review all flagged cases before any outreach is initiated. No automated adverse action is taken based solely on model output.</w:t>
      </w:r>
    </w:p>
    <w:p w14:paraId="3CB60094">
      <w:pPr>
        <w:pStyle w:val="16"/>
        <w:numPr>
          <w:ilvl w:val="0"/>
          <w:numId w:val="1"/>
        </w:numPr>
        <w:spacing w:before="30" w:after="50"/>
      </w:pPr>
      <w:r>
        <w:rPr>
          <w:rFonts w:ascii="Arial" w:hAnsi="Arial" w:eastAsia="Arial" w:cs="Arial"/>
          <w:sz w:val="22"/>
          <w:szCs w:val="22"/>
        </w:rPr>
        <w:t>Transparency: Geldium's customers should be informed that risk-based communications are informed by data analysis, in line with relevant data protection requirements.</w:t>
      </w:r>
    </w:p>
    <w:p w14:paraId="3316A752">
      <w:pPr>
        <w:pStyle w:val="16"/>
        <w:numPr>
          <w:ilvl w:val="0"/>
          <w:numId w:val="1"/>
        </w:numPr>
        <w:spacing w:before="30" w:after="50"/>
      </w:pPr>
      <w:r>
        <w:rPr>
          <w:rFonts w:ascii="Arial" w:hAnsi="Arial" w:eastAsia="Arial" w:cs="Arial"/>
          <w:sz w:val="22"/>
          <w:szCs w:val="22"/>
        </w:rPr>
        <w:t>Accountability: Model performance and fairness metrics are reviewed quarterly. Any significant drift in accuracy or disparate impact across demographic groups triggers a model review before continued deployment.</w:t>
      </w:r>
    </w:p>
    <w:p w14:paraId="1964D41A">
      <w:pPr>
        <w:spacing w:before="0" w:after="60"/>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CA560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20" w:after="100"/>
      <w:outlineLvl w:val="0"/>
    </w:pPr>
    <w:rPr>
      <w:rFonts w:ascii="Arial" w:hAnsi="Arial" w:eastAsia="Arial" w:cs="Arial"/>
      <w:b/>
      <w:bCs/>
      <w:sz w:val="24"/>
      <w:szCs w:val="24"/>
    </w:rPr>
  </w:style>
  <w:style w:type="paragraph" w:styleId="3">
    <w:name w:val="heading 2"/>
    <w:next w:val="1"/>
    <w:qFormat/>
    <w:uiPriority w:val="0"/>
    <w:pPr>
      <w:spacing w:before="160" w:after="60"/>
      <w:outlineLvl w:val="1"/>
    </w:pPr>
    <w:rPr>
      <w:rFonts w:ascii="Arial" w:hAnsi="Arial" w:eastAsia="Arial" w:cs="Arial"/>
      <w:b/>
      <w:bCs/>
      <w:color w:val="2E75B6"/>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905</Words>
  <Characters>5623</Characters>
  <TotalTime>0</TotalTime>
  <ScaleCrop>false</ScaleCrop>
  <LinksUpToDate>false</LinksUpToDate>
  <CharactersWithSpaces>6473</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2026-04-09T04:33:00Z</dcterms:created>
  <dc:creator>Un-named</dc:creator>
  <cp:lastModifiedBy>DELL</cp:lastModifiedBy>
  <dcterms:modified xsi:type="dcterms:W3CDTF">2026-04-11T22:30:47Z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eyJoZGlkIjoiODRhYjkzYTVlMjEzNTZhYjFmMzI1MTczZjdhODI2YjYiLCJ1c2VySWQiOiI1NjcyNjcwMDUwNjAifQ==</vt:lpwstr>
  </property>
  <property fmtid="{D5CDD505-2E9C-101B-9397-08002B2CF9AE}" pid="3" name="KSOProductBuildVer">
    <vt:lpwstr>1033-12.1.0.25830</vt:lpwstr>
  </property>
  <property fmtid="{D5CDD505-2E9C-101B-9397-08002B2CF9AE}" pid="4" name="ICV">
    <vt:lpwstr>E64170BEF9BD4FF7B5F18E0250F9E263_12</vt:lpwstr>
  </property>
</Properties>
</file>