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58838">
      <w:pPr>
        <w:spacing w:before="0" w:after="240"/>
      </w:pPr>
    </w:p>
    <w:p w14:paraId="5C8EA2C3">
      <w:pPr>
        <w:spacing w:before="0" w:after="60"/>
        <w:jc w:val="center"/>
      </w:pPr>
      <w:r>
        <w:rPr>
          <w:rFonts w:ascii="Arial" w:hAnsi="Arial" w:eastAsia="Arial" w:cs="Arial"/>
          <w:b/>
          <w:bCs/>
          <w:color w:val="2E75B6"/>
          <w:sz w:val="28"/>
          <w:szCs w:val="28"/>
        </w:rPr>
        <w:t>TATA iQ</w:t>
      </w:r>
    </w:p>
    <w:p w14:paraId="391AB568">
      <w:pPr>
        <w:spacing w:before="0" w:after="400"/>
        <w:jc w:val="center"/>
      </w:pPr>
      <w:r>
        <w:rPr>
          <w:rFonts w:ascii="Arial" w:hAnsi="Arial" w:eastAsia="Arial" w:cs="Arial"/>
          <w:color w:val="555555"/>
          <w:sz w:val="22"/>
          <w:szCs w:val="22"/>
        </w:rPr>
        <w:t>Geldium Finance — Credit Risk Analytics</w:t>
      </w:r>
    </w:p>
    <w:p w14:paraId="172FCA12">
      <w:pPr>
        <w:spacing w:before="0" w:after="120"/>
        <w:jc w:val="center"/>
      </w:pPr>
      <w:r>
        <w:rPr>
          <w:rFonts w:ascii="Arial" w:hAnsi="Arial" w:eastAsia="Arial" w:cs="Arial"/>
          <w:b/>
          <w:bCs/>
          <w:color w:val="1F4E79"/>
          <w:sz w:val="48"/>
          <w:szCs w:val="48"/>
        </w:rPr>
        <w:t>Exploratory Data Analysis</w:t>
      </w:r>
    </w:p>
    <w:p w14:paraId="253A9EB6">
      <w:pPr>
        <w:spacing w:before="0" w:after="400"/>
        <w:jc w:val="center"/>
      </w:pPr>
      <w:r>
        <w:rPr>
          <w:rFonts w:ascii="Arial" w:hAnsi="Arial" w:eastAsia="Arial" w:cs="Arial"/>
          <w:b/>
          <w:bCs/>
          <w:color w:val="2E75B6"/>
          <w:sz w:val="36"/>
          <w:szCs w:val="36"/>
        </w:rPr>
        <w:t>Summary Report</w:t>
      </w:r>
    </w:p>
    <w:p w14:paraId="67ED8573">
      <w:pPr>
        <w:pBdr>
          <w:bottom w:val="single" w:color="2E75B6" w:sz="8" w:space="1"/>
        </w:pBdr>
        <w:spacing w:before="0" w:after="300"/>
      </w:pPr>
    </w:p>
    <w:p w14:paraId="75DFE32D">
      <w:pPr>
        <w:spacing w:before="0" w:after="80"/>
        <w:jc w:val="center"/>
      </w:pPr>
      <w:r>
        <w:rPr>
          <w:rFonts w:ascii="Arial" w:hAnsi="Arial" w:eastAsia="Arial" w:cs="Arial"/>
          <w:color w:val="444444"/>
          <w:sz w:val="20"/>
          <w:szCs w:val="20"/>
        </w:rPr>
        <w:t>Prepared by: Kavya Balaji</w:t>
      </w:r>
      <w:r>
        <w:rPr>
          <w:rFonts w:hint="default" w:cs="Arial"/>
          <w:color w:val="444444"/>
          <w:sz w:val="20"/>
          <w:szCs w:val="20"/>
          <w:lang w:val="en-US"/>
        </w:rPr>
        <w:t xml:space="preserve"> Singh</w:t>
      </w:r>
      <w:bookmarkStart w:id="0" w:name="_GoBack"/>
      <w:bookmarkEnd w:id="0"/>
      <w:r>
        <w:rPr>
          <w:rFonts w:ascii="Arial" w:hAnsi="Arial" w:eastAsia="Arial" w:cs="Arial"/>
          <w:color w:val="444444"/>
          <w:sz w:val="20"/>
          <w:szCs w:val="20"/>
        </w:rPr>
        <w:t>, AI Transformation Consultant</w:t>
      </w:r>
    </w:p>
    <w:p w14:paraId="29AC83BD">
      <w:pPr>
        <w:spacing w:before="0" w:after="80"/>
        <w:jc w:val="center"/>
      </w:pPr>
      <w:r>
        <w:rPr>
          <w:rFonts w:ascii="Arial" w:hAnsi="Arial" w:eastAsia="Arial" w:cs="Arial"/>
          <w:color w:val="444444"/>
          <w:sz w:val="20"/>
          <w:szCs w:val="20"/>
        </w:rPr>
        <w:t>Tata iQ — Financial Services Data &amp; AI Strategy</w:t>
      </w:r>
    </w:p>
    <w:p w14:paraId="5EB15EAA">
      <w:pPr>
        <w:spacing w:before="0" w:after="80"/>
        <w:jc w:val="center"/>
      </w:pPr>
      <w:r>
        <w:rPr>
          <w:rFonts w:ascii="Arial" w:hAnsi="Arial" w:eastAsia="Arial" w:cs="Arial"/>
          <w:color w:val="666666"/>
          <w:sz w:val="20"/>
          <w:szCs w:val="20"/>
        </w:rPr>
        <w:t>Project: Geldium Delinquency Reduction Initiative  |  Task 1</w:t>
      </w:r>
    </w:p>
    <w:p w14:paraId="7E9067B8">
      <w:pPr>
        <w:spacing w:before="200" w:after="0"/>
        <w:jc w:val="center"/>
      </w:pPr>
      <w:r>
        <w:rPr>
          <w:rFonts w:ascii="Arial" w:hAnsi="Arial" w:eastAsia="Arial" w:cs="Arial"/>
          <w:i/>
          <w:iCs/>
          <w:color w:val="999999"/>
          <w:sz w:val="18"/>
          <w:szCs w:val="18"/>
        </w:rPr>
        <w:t>Confidential — For Internal Use Only</w:t>
      </w:r>
    </w:p>
    <w:p w14:paraId="1B9D4880">
      <w:pPr>
        <w:spacing w:before="0" w:after="160"/>
      </w:pPr>
    </w:p>
    <w:p w14:paraId="02C8735F">
      <w:pPr>
        <w:pageBreakBefore/>
      </w:pPr>
    </w:p>
    <w:p w14:paraId="6E3F4A63">
      <w:pPr>
        <w:pStyle w:val="2"/>
        <w:shd w:val="clear" w:fill="1F4E79"/>
        <w:spacing w:before="360" w:after="120"/>
        <w:ind w:left="120" w:right="120"/>
      </w:pPr>
      <w:r>
        <w:rPr>
          <w:rFonts w:ascii="Arial" w:hAnsi="Arial" w:eastAsia="Arial" w:cs="Arial"/>
          <w:b/>
          <w:bCs/>
          <w:color w:val="FFFFFF"/>
          <w:sz w:val="28"/>
          <w:szCs w:val="28"/>
        </w:rPr>
        <w:t>1.  Introduction</w:t>
      </w:r>
    </w:p>
    <w:p w14:paraId="2666DF21">
      <w:pPr>
        <w:spacing w:before="0" w:after="80"/>
      </w:pPr>
    </w:p>
    <w:p w14:paraId="01E95E56">
      <w:pPr>
        <w:spacing w:before="60" w:after="100"/>
        <w:jc w:val="both"/>
      </w:pPr>
      <w:r>
        <w:rPr>
          <w:rFonts w:ascii="Arial" w:hAnsi="Arial" w:eastAsia="Arial" w:cs="Arial"/>
          <w:color w:val="1A1A1A"/>
          <w:sz w:val="22"/>
          <w:szCs w:val="22"/>
        </w:rPr>
        <w:t>Geldium Finance has observed a sustained increase in credit card delinquency, with a growing proportion of customers missing payments beyond the 30-day threshold. Tata iQ has been engaged to develop an AI-powered predictive analytics solution that enables Geldium's Collections team to identify at-risk customers earlier, prioritize outreach efforts, and deploy targeted intervention strategies.</w:t>
      </w:r>
    </w:p>
    <w:p w14:paraId="3AF95887">
      <w:pPr>
        <w:spacing w:before="0" w:after="80"/>
      </w:pPr>
    </w:p>
    <w:p w14:paraId="342DF037">
      <w:pPr>
        <w:spacing w:before="60" w:after="100"/>
        <w:jc w:val="both"/>
      </w:pPr>
      <w:r>
        <w:rPr>
          <w:rFonts w:ascii="Arial" w:hAnsi="Arial" w:eastAsia="Arial" w:cs="Arial"/>
          <w:color w:val="1A1A1A"/>
          <w:sz w:val="22"/>
          <w:szCs w:val="22"/>
        </w:rPr>
        <w:t>This report documents the findings from Task 1 of the engagement: an Exploratory Data Analysis (EDA) of Geldium's customer dataset. The objective is to assess the dataset's structure, completeness, and quality; identify patterns and early risk indicators; and establish a reliable analytical foundation before any predictive modelling begins.</w:t>
      </w:r>
    </w:p>
    <w:p w14:paraId="431841D2">
      <w:pPr>
        <w:spacing w:before="0" w:after="80"/>
      </w:pPr>
    </w:p>
    <w:p w14:paraId="67C49A2E">
      <w:pPr>
        <w:spacing w:before="60" w:after="100"/>
        <w:jc w:val="both"/>
      </w:pPr>
      <w:r>
        <w:rPr>
          <w:rFonts w:ascii="Arial" w:hAnsi="Arial" w:eastAsia="Arial" w:cs="Arial"/>
          <w:color w:val="1A1A1A"/>
          <w:sz w:val="22"/>
          <w:szCs w:val="22"/>
        </w:rPr>
        <w:t>The analysis covers 500 customer records across 19 variables — including demographics, credit history, behavioral payment data, and account characteristics. GenAI tools were used to accelerate data summarisation and imputation strategy development while all interpretations and conclusions were validated analytically.</w:t>
      </w:r>
    </w:p>
    <w:p w14:paraId="15301B98">
      <w:pPr>
        <w:spacing w:before="0" w:after="160"/>
      </w:pPr>
    </w:p>
    <w:p w14:paraId="441E73E6">
      <w:pPr>
        <w:pStyle w:val="2"/>
        <w:shd w:val="clear" w:fill="1F4E79"/>
        <w:spacing w:before="360" w:after="120"/>
        <w:ind w:left="120" w:right="120"/>
      </w:pPr>
      <w:r>
        <w:rPr>
          <w:rFonts w:ascii="Arial" w:hAnsi="Arial" w:eastAsia="Arial" w:cs="Arial"/>
          <w:b/>
          <w:bCs/>
          <w:color w:val="FFFFFF"/>
          <w:sz w:val="28"/>
          <w:szCs w:val="28"/>
        </w:rPr>
        <w:t>2.  Dataset Overview</w:t>
      </w:r>
    </w:p>
    <w:p w14:paraId="1FD63545">
      <w:pPr>
        <w:spacing w:before="0" w:after="80"/>
      </w:pPr>
    </w:p>
    <w:p w14:paraId="5C9F5047">
      <w:pPr>
        <w:pStyle w:val="3"/>
        <w:pBdr>
          <w:bottom w:val="single" w:color="2E75B6" w:sz="4" w:space="1"/>
        </w:pBdr>
        <w:spacing w:before="280" w:after="100"/>
      </w:pPr>
      <w:r>
        <w:rPr>
          <w:rFonts w:ascii="Arial" w:hAnsi="Arial" w:eastAsia="Arial" w:cs="Arial"/>
          <w:b/>
          <w:bCs/>
          <w:color w:val="1F4E79"/>
          <w:sz w:val="24"/>
          <w:szCs w:val="24"/>
        </w:rPr>
        <w:t>2.1  Structure and Key Attributes</w:t>
      </w:r>
    </w:p>
    <w:p w14:paraId="25BE7F3C">
      <w:pPr>
        <w:spacing w:before="0" w:after="80"/>
      </w:pPr>
    </w:p>
    <w:p w14:paraId="1F7CC08B">
      <w:pPr>
        <w:spacing w:before="60" w:after="100"/>
        <w:jc w:val="both"/>
      </w:pPr>
      <w:r>
        <w:rPr>
          <w:rFonts w:ascii="Arial" w:hAnsi="Arial" w:eastAsia="Arial" w:cs="Arial"/>
          <w:color w:val="1A1A1A"/>
          <w:sz w:val="22"/>
          <w:szCs w:val="22"/>
        </w:rPr>
        <w:t>The dataset contains 500 customer records across 19 columns. Variables span three broad categories: customer demographics (age, income, location), credit and financial behaviour (credit score, utilisation, missed payments, loan balance, debt-to-income ratio), and account metadata (employment status, card type, tenure). Six months of payment history are recorded per customer using a three-value encoding: On-time (0), Late (1), and Missed (2).</w:t>
      </w:r>
    </w:p>
    <w:p w14:paraId="66E3655C">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5"/>
        <w:gridCol w:w="2614"/>
        <w:gridCol w:w="4841"/>
      </w:tblGrid>
      <w:tr w14:paraId="7A25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nil"/>
              <w:left w:val="nil"/>
              <w:bottom w:val="nil"/>
              <w:right w:val="nil"/>
            </w:tcBorders>
            <w:shd w:val="clear" w:color="auto" w:fill="1F4E79"/>
            <w:tcMar>
              <w:top w:w="100" w:type="dxa"/>
              <w:left w:w="140" w:type="dxa"/>
              <w:bottom w:w="100" w:type="dxa"/>
              <w:right w:w="140" w:type="dxa"/>
            </w:tcMar>
          </w:tcPr>
          <w:p w14:paraId="7646F1CD">
            <w:pPr>
              <w:jc w:val="center"/>
            </w:pPr>
            <w:r>
              <w:rPr>
                <w:rFonts w:ascii="Arial" w:hAnsi="Arial" w:eastAsia="Arial" w:cs="Arial"/>
                <w:b/>
                <w:bCs/>
                <w:color w:val="FFFFFF"/>
                <w:sz w:val="22"/>
                <w:szCs w:val="22"/>
              </w:rPr>
              <w:t>Dataset at a Glance</w:t>
            </w:r>
          </w:p>
        </w:tc>
      </w:tr>
      <w:tr w14:paraId="25E7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nil"/>
              <w:left w:val="nil"/>
              <w:bottom w:val="nil"/>
              <w:right w:val="nil"/>
            </w:tcBorders>
            <w:shd w:val="clear" w:color="auto" w:fill="2E75B6"/>
            <w:tcMar>
              <w:top w:w="80" w:type="dxa"/>
              <w:left w:w="140" w:type="dxa"/>
              <w:bottom w:w="80" w:type="dxa"/>
              <w:right w:w="140" w:type="dxa"/>
            </w:tcMar>
          </w:tcPr>
          <w:p w14:paraId="2D32108F">
            <w:r>
              <w:rPr>
                <w:rFonts w:ascii="Arial" w:hAnsi="Arial" w:eastAsia="Arial" w:cs="Arial"/>
                <w:b/>
                <w:bCs/>
                <w:color w:val="FFFFFF"/>
                <w:sz w:val="20"/>
                <w:szCs w:val="20"/>
              </w:rPr>
              <w:t>Total records</w:t>
            </w:r>
          </w:p>
        </w:tc>
        <w:tc>
          <w:tcPr>
            <w:tcW w:w="1800" w:type="dxa"/>
            <w:tcBorders>
              <w:top w:val="nil"/>
              <w:left w:val="nil"/>
              <w:bottom w:val="nil"/>
              <w:right w:val="nil"/>
            </w:tcBorders>
            <w:shd w:val="clear" w:color="auto" w:fill="C9E0F5"/>
            <w:tcMar>
              <w:top w:w="80" w:type="dxa"/>
              <w:left w:w="140" w:type="dxa"/>
              <w:bottom w:w="80" w:type="dxa"/>
              <w:right w:w="140" w:type="dxa"/>
            </w:tcMar>
          </w:tcPr>
          <w:p w14:paraId="495C7E44">
            <w:r>
              <w:rPr>
                <w:rFonts w:ascii="Arial" w:hAnsi="Arial" w:eastAsia="Arial" w:cs="Arial"/>
                <w:b/>
                <w:bCs/>
                <w:color w:val="1F4E79"/>
                <w:sz w:val="24"/>
                <w:szCs w:val="24"/>
              </w:rPr>
              <w:t>500</w:t>
            </w:r>
          </w:p>
        </w:tc>
        <w:tc>
          <w:tcPr>
            <w:tcW w:w="5560" w:type="dxa"/>
            <w:tcBorders>
              <w:top w:val="nil"/>
              <w:left w:val="nil"/>
              <w:bottom w:val="nil"/>
              <w:right w:val="nil"/>
            </w:tcBorders>
            <w:shd w:val="clear" w:color="auto" w:fill="F2F2F2"/>
            <w:tcMar>
              <w:top w:w="80" w:type="dxa"/>
              <w:left w:w="140" w:type="dxa"/>
              <w:bottom w:w="80" w:type="dxa"/>
              <w:right w:w="140" w:type="dxa"/>
            </w:tcMar>
          </w:tcPr>
          <w:p w14:paraId="5A6FDB54">
            <w:r>
              <w:rPr>
                <w:rFonts w:ascii="Arial" w:hAnsi="Arial" w:eastAsia="Arial" w:cs="Arial"/>
                <w:i/>
                <w:iCs/>
                <w:color w:val="555555"/>
                <w:sz w:val="20"/>
                <w:szCs w:val="20"/>
              </w:rPr>
              <w:t>Customer accounts under analysis</w:t>
            </w:r>
          </w:p>
        </w:tc>
      </w:tr>
      <w:tr w14:paraId="5B3C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nil"/>
              <w:left w:val="nil"/>
              <w:bottom w:val="nil"/>
              <w:right w:val="nil"/>
            </w:tcBorders>
            <w:shd w:val="clear" w:color="auto" w:fill="2E75B6"/>
            <w:tcMar>
              <w:top w:w="80" w:type="dxa"/>
              <w:left w:w="140" w:type="dxa"/>
              <w:bottom w:w="80" w:type="dxa"/>
              <w:right w:w="140" w:type="dxa"/>
            </w:tcMar>
          </w:tcPr>
          <w:p w14:paraId="746A0AE1">
            <w:r>
              <w:rPr>
                <w:rFonts w:ascii="Arial" w:hAnsi="Arial" w:eastAsia="Arial" w:cs="Arial"/>
                <w:b/>
                <w:bCs/>
                <w:color w:val="FFFFFF"/>
                <w:sz w:val="20"/>
                <w:szCs w:val="20"/>
              </w:rPr>
              <w:t>Total variables</w:t>
            </w:r>
          </w:p>
        </w:tc>
        <w:tc>
          <w:tcPr>
            <w:tcW w:w="1800" w:type="dxa"/>
            <w:tcBorders>
              <w:top w:val="nil"/>
              <w:left w:val="nil"/>
              <w:bottom w:val="nil"/>
              <w:right w:val="nil"/>
            </w:tcBorders>
            <w:shd w:val="clear" w:color="auto" w:fill="C9E0F5"/>
            <w:tcMar>
              <w:top w:w="80" w:type="dxa"/>
              <w:left w:w="140" w:type="dxa"/>
              <w:bottom w:w="80" w:type="dxa"/>
              <w:right w:w="140" w:type="dxa"/>
            </w:tcMar>
          </w:tcPr>
          <w:p w14:paraId="1B5F47EE">
            <w:r>
              <w:rPr>
                <w:rFonts w:ascii="Arial" w:hAnsi="Arial" w:eastAsia="Arial" w:cs="Arial"/>
                <w:b/>
                <w:bCs/>
                <w:color w:val="1F4E79"/>
                <w:sz w:val="24"/>
                <w:szCs w:val="24"/>
              </w:rPr>
              <w:t>19</w:t>
            </w:r>
          </w:p>
        </w:tc>
        <w:tc>
          <w:tcPr>
            <w:tcW w:w="5560" w:type="dxa"/>
            <w:tcBorders>
              <w:top w:val="nil"/>
              <w:left w:val="nil"/>
              <w:bottom w:val="nil"/>
              <w:right w:val="nil"/>
            </w:tcBorders>
            <w:shd w:val="clear" w:color="auto" w:fill="F2F2F2"/>
            <w:tcMar>
              <w:top w:w="80" w:type="dxa"/>
              <w:left w:w="140" w:type="dxa"/>
              <w:bottom w:w="80" w:type="dxa"/>
              <w:right w:w="140" w:type="dxa"/>
            </w:tcMar>
          </w:tcPr>
          <w:p w14:paraId="64996427">
            <w:r>
              <w:rPr>
                <w:rFonts w:ascii="Arial" w:hAnsi="Arial" w:eastAsia="Arial" w:cs="Arial"/>
                <w:i/>
                <w:iCs/>
                <w:color w:val="555555"/>
                <w:sz w:val="20"/>
                <w:szCs w:val="20"/>
              </w:rPr>
              <w:t>Demographic, financial, behavioural, and account data</w:t>
            </w:r>
          </w:p>
        </w:tc>
      </w:tr>
      <w:tr w14:paraId="50B7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nil"/>
              <w:left w:val="nil"/>
              <w:bottom w:val="nil"/>
              <w:right w:val="nil"/>
            </w:tcBorders>
            <w:shd w:val="clear" w:color="auto" w:fill="2E75B6"/>
            <w:tcMar>
              <w:top w:w="80" w:type="dxa"/>
              <w:left w:w="140" w:type="dxa"/>
              <w:bottom w:w="80" w:type="dxa"/>
              <w:right w:w="140" w:type="dxa"/>
            </w:tcMar>
          </w:tcPr>
          <w:p w14:paraId="04CF27BE">
            <w:r>
              <w:rPr>
                <w:rFonts w:ascii="Arial" w:hAnsi="Arial" w:eastAsia="Arial" w:cs="Arial"/>
                <w:b/>
                <w:bCs/>
                <w:color w:val="FFFFFF"/>
                <w:sz w:val="20"/>
                <w:szCs w:val="20"/>
              </w:rPr>
              <w:t>Target variable</w:t>
            </w:r>
          </w:p>
        </w:tc>
        <w:tc>
          <w:tcPr>
            <w:tcW w:w="1800" w:type="dxa"/>
            <w:tcBorders>
              <w:top w:val="nil"/>
              <w:left w:val="nil"/>
              <w:bottom w:val="nil"/>
              <w:right w:val="nil"/>
            </w:tcBorders>
            <w:shd w:val="clear" w:color="auto" w:fill="C9E0F5"/>
            <w:tcMar>
              <w:top w:w="80" w:type="dxa"/>
              <w:left w:w="140" w:type="dxa"/>
              <w:bottom w:w="80" w:type="dxa"/>
              <w:right w:w="140" w:type="dxa"/>
            </w:tcMar>
          </w:tcPr>
          <w:p w14:paraId="1C91A302">
            <w:r>
              <w:rPr>
                <w:rFonts w:ascii="Arial" w:hAnsi="Arial" w:eastAsia="Arial" w:cs="Arial"/>
                <w:b/>
                <w:bCs/>
                <w:color w:val="1F4E79"/>
                <w:sz w:val="24"/>
                <w:szCs w:val="24"/>
              </w:rPr>
              <w:t>Delinquent_Account</w:t>
            </w:r>
          </w:p>
        </w:tc>
        <w:tc>
          <w:tcPr>
            <w:tcW w:w="5560" w:type="dxa"/>
            <w:tcBorders>
              <w:top w:val="nil"/>
              <w:left w:val="nil"/>
              <w:bottom w:val="nil"/>
              <w:right w:val="nil"/>
            </w:tcBorders>
            <w:shd w:val="clear" w:color="auto" w:fill="F2F2F2"/>
            <w:tcMar>
              <w:top w:w="80" w:type="dxa"/>
              <w:left w:w="140" w:type="dxa"/>
              <w:bottom w:w="80" w:type="dxa"/>
              <w:right w:w="140" w:type="dxa"/>
            </w:tcMar>
          </w:tcPr>
          <w:p w14:paraId="28C27EE0">
            <w:r>
              <w:rPr>
                <w:rFonts w:ascii="Arial" w:hAnsi="Arial" w:eastAsia="Arial" w:cs="Arial"/>
                <w:i/>
                <w:iCs/>
                <w:color w:val="555555"/>
                <w:sz w:val="20"/>
                <w:szCs w:val="20"/>
              </w:rPr>
              <w:t>Binary: 1 = Delinquent, 0 = Non-delinquent</w:t>
            </w:r>
          </w:p>
        </w:tc>
      </w:tr>
      <w:tr w14:paraId="3967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nil"/>
              <w:left w:val="nil"/>
              <w:bottom w:val="nil"/>
              <w:right w:val="nil"/>
            </w:tcBorders>
            <w:shd w:val="clear" w:color="auto" w:fill="2E75B6"/>
            <w:tcMar>
              <w:top w:w="80" w:type="dxa"/>
              <w:left w:w="140" w:type="dxa"/>
              <w:bottom w:w="80" w:type="dxa"/>
              <w:right w:w="140" w:type="dxa"/>
            </w:tcMar>
          </w:tcPr>
          <w:p w14:paraId="27614E1F">
            <w:r>
              <w:rPr>
                <w:rFonts w:ascii="Arial" w:hAnsi="Arial" w:eastAsia="Arial" w:cs="Arial"/>
                <w:b/>
                <w:bCs/>
                <w:color w:val="FFFFFF"/>
                <w:sz w:val="20"/>
                <w:szCs w:val="20"/>
              </w:rPr>
              <w:t>Delinquency rate</w:t>
            </w:r>
          </w:p>
        </w:tc>
        <w:tc>
          <w:tcPr>
            <w:tcW w:w="1800" w:type="dxa"/>
            <w:tcBorders>
              <w:top w:val="nil"/>
              <w:left w:val="nil"/>
              <w:bottom w:val="nil"/>
              <w:right w:val="nil"/>
            </w:tcBorders>
            <w:shd w:val="clear" w:color="auto" w:fill="C9E0F5"/>
            <w:tcMar>
              <w:top w:w="80" w:type="dxa"/>
              <w:left w:w="140" w:type="dxa"/>
              <w:bottom w:w="80" w:type="dxa"/>
              <w:right w:w="140" w:type="dxa"/>
            </w:tcMar>
          </w:tcPr>
          <w:p w14:paraId="31EFC051">
            <w:r>
              <w:rPr>
                <w:rFonts w:ascii="Arial" w:hAnsi="Arial" w:eastAsia="Arial" w:cs="Arial"/>
                <w:b/>
                <w:bCs/>
                <w:color w:val="1F4E79"/>
                <w:sz w:val="24"/>
                <w:szCs w:val="24"/>
              </w:rPr>
              <w:t>16.0%</w:t>
            </w:r>
          </w:p>
        </w:tc>
        <w:tc>
          <w:tcPr>
            <w:tcW w:w="5560" w:type="dxa"/>
            <w:tcBorders>
              <w:top w:val="nil"/>
              <w:left w:val="nil"/>
              <w:bottom w:val="nil"/>
              <w:right w:val="nil"/>
            </w:tcBorders>
            <w:shd w:val="clear" w:color="auto" w:fill="F2F2F2"/>
            <w:tcMar>
              <w:top w:w="80" w:type="dxa"/>
              <w:left w:w="140" w:type="dxa"/>
              <w:bottom w:w="80" w:type="dxa"/>
              <w:right w:w="140" w:type="dxa"/>
            </w:tcMar>
          </w:tcPr>
          <w:p w14:paraId="6E226883">
            <w:r>
              <w:rPr>
                <w:rFonts w:ascii="Arial" w:hAnsi="Arial" w:eastAsia="Arial" w:cs="Arial"/>
                <w:i/>
                <w:iCs/>
                <w:color w:val="555555"/>
                <w:sz w:val="20"/>
                <w:szCs w:val="20"/>
              </w:rPr>
              <w:t>80 delinquent accounts out of 500 — class imbalance present</w:t>
            </w:r>
          </w:p>
        </w:tc>
      </w:tr>
      <w:tr w14:paraId="240B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nil"/>
              <w:left w:val="nil"/>
              <w:bottom w:val="nil"/>
              <w:right w:val="nil"/>
            </w:tcBorders>
            <w:shd w:val="clear" w:color="auto" w:fill="2E75B6"/>
            <w:tcMar>
              <w:top w:w="80" w:type="dxa"/>
              <w:left w:w="140" w:type="dxa"/>
              <w:bottom w:w="80" w:type="dxa"/>
              <w:right w:w="140" w:type="dxa"/>
            </w:tcMar>
          </w:tcPr>
          <w:p w14:paraId="1B34384F">
            <w:r>
              <w:rPr>
                <w:rFonts w:ascii="Arial" w:hAnsi="Arial" w:eastAsia="Arial" w:cs="Arial"/>
                <w:b/>
                <w:bCs/>
                <w:color w:val="FFFFFF"/>
                <w:sz w:val="20"/>
                <w:szCs w:val="20"/>
              </w:rPr>
              <w:t>Numerical columns</w:t>
            </w:r>
          </w:p>
        </w:tc>
        <w:tc>
          <w:tcPr>
            <w:tcW w:w="1800" w:type="dxa"/>
            <w:tcBorders>
              <w:top w:val="nil"/>
              <w:left w:val="nil"/>
              <w:bottom w:val="nil"/>
              <w:right w:val="nil"/>
            </w:tcBorders>
            <w:shd w:val="clear" w:color="auto" w:fill="C9E0F5"/>
            <w:tcMar>
              <w:top w:w="80" w:type="dxa"/>
              <w:left w:w="140" w:type="dxa"/>
              <w:bottom w:w="80" w:type="dxa"/>
              <w:right w:w="140" w:type="dxa"/>
            </w:tcMar>
          </w:tcPr>
          <w:p w14:paraId="5E71DE1A">
            <w:r>
              <w:rPr>
                <w:rFonts w:ascii="Arial" w:hAnsi="Arial" w:eastAsia="Arial" w:cs="Arial"/>
                <w:b/>
                <w:bCs/>
                <w:color w:val="1F4E79"/>
                <w:sz w:val="24"/>
                <w:szCs w:val="24"/>
              </w:rPr>
              <w:t>10</w:t>
            </w:r>
          </w:p>
        </w:tc>
        <w:tc>
          <w:tcPr>
            <w:tcW w:w="5560" w:type="dxa"/>
            <w:tcBorders>
              <w:top w:val="nil"/>
              <w:left w:val="nil"/>
              <w:bottom w:val="nil"/>
              <w:right w:val="nil"/>
            </w:tcBorders>
            <w:shd w:val="clear" w:color="auto" w:fill="F2F2F2"/>
            <w:tcMar>
              <w:top w:w="80" w:type="dxa"/>
              <w:left w:w="140" w:type="dxa"/>
              <w:bottom w:w="80" w:type="dxa"/>
              <w:right w:w="140" w:type="dxa"/>
            </w:tcMar>
          </w:tcPr>
          <w:p w14:paraId="2739E357">
            <w:r>
              <w:rPr>
                <w:rFonts w:ascii="Arial" w:hAnsi="Arial" w:eastAsia="Arial" w:cs="Arial"/>
                <w:i/>
                <w:iCs/>
                <w:color w:val="555555"/>
                <w:sz w:val="20"/>
                <w:szCs w:val="20"/>
              </w:rPr>
              <w:t>Age, Income, Credit Score, Utilisation, etc.</w:t>
            </w:r>
          </w:p>
        </w:tc>
      </w:tr>
      <w:tr w14:paraId="054AD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nil"/>
              <w:left w:val="nil"/>
              <w:bottom w:val="nil"/>
              <w:right w:val="nil"/>
            </w:tcBorders>
            <w:shd w:val="clear" w:color="auto" w:fill="2E75B6"/>
            <w:tcMar>
              <w:top w:w="80" w:type="dxa"/>
              <w:left w:w="140" w:type="dxa"/>
              <w:bottom w:w="80" w:type="dxa"/>
              <w:right w:w="140" w:type="dxa"/>
            </w:tcMar>
          </w:tcPr>
          <w:p w14:paraId="3DCC3C75">
            <w:r>
              <w:rPr>
                <w:rFonts w:ascii="Arial" w:hAnsi="Arial" w:eastAsia="Arial" w:cs="Arial"/>
                <w:b/>
                <w:bCs/>
                <w:color w:val="FFFFFF"/>
                <w:sz w:val="20"/>
                <w:szCs w:val="20"/>
              </w:rPr>
              <w:t>Categorical columns</w:t>
            </w:r>
          </w:p>
        </w:tc>
        <w:tc>
          <w:tcPr>
            <w:tcW w:w="1800" w:type="dxa"/>
            <w:tcBorders>
              <w:top w:val="nil"/>
              <w:left w:val="nil"/>
              <w:bottom w:val="nil"/>
              <w:right w:val="nil"/>
            </w:tcBorders>
            <w:shd w:val="clear" w:color="auto" w:fill="C9E0F5"/>
            <w:tcMar>
              <w:top w:w="80" w:type="dxa"/>
              <w:left w:w="140" w:type="dxa"/>
              <w:bottom w:w="80" w:type="dxa"/>
              <w:right w:w="140" w:type="dxa"/>
            </w:tcMar>
          </w:tcPr>
          <w:p w14:paraId="74AC68DD">
            <w:r>
              <w:rPr>
                <w:rFonts w:ascii="Arial" w:hAnsi="Arial" w:eastAsia="Arial" w:cs="Arial"/>
                <w:b/>
                <w:bCs/>
                <w:color w:val="1F4E79"/>
                <w:sz w:val="24"/>
                <w:szCs w:val="24"/>
              </w:rPr>
              <w:t>9</w:t>
            </w:r>
          </w:p>
        </w:tc>
        <w:tc>
          <w:tcPr>
            <w:tcW w:w="5560" w:type="dxa"/>
            <w:tcBorders>
              <w:top w:val="nil"/>
              <w:left w:val="nil"/>
              <w:bottom w:val="nil"/>
              <w:right w:val="nil"/>
            </w:tcBorders>
            <w:shd w:val="clear" w:color="auto" w:fill="F2F2F2"/>
            <w:tcMar>
              <w:top w:w="80" w:type="dxa"/>
              <w:left w:w="140" w:type="dxa"/>
              <w:bottom w:w="80" w:type="dxa"/>
              <w:right w:w="140" w:type="dxa"/>
            </w:tcMar>
          </w:tcPr>
          <w:p w14:paraId="00DFE509">
            <w:r>
              <w:rPr>
                <w:rFonts w:ascii="Arial" w:hAnsi="Arial" w:eastAsia="Arial" w:cs="Arial"/>
                <w:i/>
                <w:iCs/>
                <w:color w:val="555555"/>
                <w:sz w:val="20"/>
                <w:szCs w:val="20"/>
              </w:rPr>
              <w:t>Employment Status, Card Type, Location, Month 1–6</w:t>
            </w:r>
          </w:p>
        </w:tc>
      </w:tr>
    </w:tbl>
    <w:p w14:paraId="718DA961">
      <w:pPr>
        <w:spacing w:before="0" w:after="160"/>
      </w:pPr>
    </w:p>
    <w:p w14:paraId="712E94E5">
      <w:pPr>
        <w:pStyle w:val="3"/>
        <w:pBdr>
          <w:bottom w:val="single" w:color="2E75B6" w:sz="4" w:space="1"/>
        </w:pBdr>
        <w:spacing w:before="280" w:after="100"/>
      </w:pPr>
      <w:r>
        <w:rPr>
          <w:rFonts w:ascii="Arial" w:hAnsi="Arial" w:eastAsia="Arial" w:cs="Arial"/>
          <w:b/>
          <w:bCs/>
          <w:color w:val="1F4E79"/>
          <w:sz w:val="24"/>
          <w:szCs w:val="24"/>
        </w:rPr>
        <w:t>2.2  Target Variable Distribution</w:t>
      </w:r>
    </w:p>
    <w:p w14:paraId="43551063">
      <w:pPr>
        <w:spacing w:before="0" w:after="80"/>
      </w:pPr>
    </w:p>
    <w:p w14:paraId="791CB1B0">
      <w:pPr>
        <w:spacing w:before="60" w:after="100"/>
        <w:jc w:val="both"/>
      </w:pPr>
      <w:r>
        <w:rPr>
          <w:rFonts w:ascii="Arial" w:hAnsi="Arial" w:eastAsia="Arial" w:cs="Arial"/>
          <w:color w:val="1A1A1A"/>
          <w:sz w:val="22"/>
          <w:szCs w:val="22"/>
        </w:rPr>
        <w:t>The target variable, Delinquent_Account, is binary. Of the 500 records, 420 customers (84%) are non-delinquent and 80 customers (16%) are classified as delinquent. This 84:16 class imbalance is moderate but consequential — if left unaddressed in modelling, it can cause classifiers to disproportionately predict the majority class, reducing sensitivity to the very customers the model needs to identify.</w:t>
      </w:r>
    </w:p>
    <w:p w14:paraId="11990A0B">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1600"/>
        <w:gridCol w:w="3960"/>
      </w:tblGrid>
      <w:tr w14:paraId="64CD8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1CE239D5">
            <w:pPr>
              <w:jc w:val="center"/>
            </w:pPr>
            <w:r>
              <w:rPr>
                <w:rFonts w:ascii="Arial" w:hAnsi="Arial" w:eastAsia="Arial" w:cs="Arial"/>
                <w:b/>
                <w:bCs/>
                <w:color w:val="FFFFFF"/>
                <w:sz w:val="20"/>
                <w:szCs w:val="20"/>
              </w:rPr>
              <w:t>Class</w:t>
            </w:r>
          </w:p>
        </w:tc>
        <w:tc>
          <w:tcPr>
            <w:tcW w:w="14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44EFD178">
            <w:pPr>
              <w:jc w:val="center"/>
            </w:pPr>
            <w:r>
              <w:rPr>
                <w:rFonts w:ascii="Arial" w:hAnsi="Arial" w:eastAsia="Arial" w:cs="Arial"/>
                <w:b/>
                <w:bCs/>
                <w:color w:val="FFFFFF"/>
                <w:sz w:val="20"/>
                <w:szCs w:val="20"/>
              </w:rPr>
              <w:t>Count</w:t>
            </w:r>
          </w:p>
        </w:tc>
        <w:tc>
          <w:tcPr>
            <w:tcW w:w="16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0C9CC048">
            <w:pPr>
              <w:jc w:val="center"/>
            </w:pPr>
            <w:r>
              <w:rPr>
                <w:rFonts w:ascii="Arial" w:hAnsi="Arial" w:eastAsia="Arial" w:cs="Arial"/>
                <w:b/>
                <w:bCs/>
                <w:color w:val="FFFFFF"/>
                <w:sz w:val="20"/>
                <w:szCs w:val="20"/>
              </w:rPr>
              <w:t>Percentage</w:t>
            </w:r>
          </w:p>
        </w:tc>
        <w:tc>
          <w:tcPr>
            <w:tcW w:w="396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7C9D7A9B">
            <w:pPr>
              <w:jc w:val="center"/>
            </w:pPr>
            <w:r>
              <w:rPr>
                <w:rFonts w:ascii="Arial" w:hAnsi="Arial" w:eastAsia="Arial" w:cs="Arial"/>
                <w:b/>
                <w:bCs/>
                <w:color w:val="FFFFFF"/>
                <w:sz w:val="20"/>
                <w:szCs w:val="20"/>
              </w:rPr>
              <w:t>Implication</w:t>
            </w:r>
          </w:p>
        </w:tc>
      </w:tr>
      <w:tr w14:paraId="4DC41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07570F1">
            <w:pPr>
              <w:jc w:val="left"/>
            </w:pPr>
            <w:r>
              <w:rPr>
                <w:rFonts w:ascii="Arial" w:hAnsi="Arial" w:eastAsia="Arial" w:cs="Arial"/>
                <w:color w:val="1A1A1A"/>
                <w:sz w:val="20"/>
                <w:szCs w:val="20"/>
              </w:rPr>
              <w:t>Non-Delinquent (0)</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4CED104">
            <w:pPr>
              <w:jc w:val="center"/>
            </w:pPr>
            <w:r>
              <w:rPr>
                <w:rFonts w:ascii="Arial" w:hAnsi="Arial" w:eastAsia="Arial" w:cs="Arial"/>
                <w:color w:val="1A1A1A"/>
                <w:sz w:val="20"/>
                <w:szCs w:val="20"/>
              </w:rPr>
              <w:t>420</w:t>
            </w:r>
          </w:p>
        </w:tc>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B84272D">
            <w:pPr>
              <w:jc w:val="center"/>
            </w:pPr>
            <w:r>
              <w:rPr>
                <w:rFonts w:ascii="Arial" w:hAnsi="Arial" w:eastAsia="Arial" w:cs="Arial"/>
                <w:color w:val="1A1A1A"/>
                <w:sz w:val="20"/>
                <w:szCs w:val="20"/>
              </w:rPr>
              <w:t>84.0%</w:t>
            </w:r>
          </w:p>
        </w:tc>
        <w:tc>
          <w:tcPr>
            <w:tcW w:w="3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DE97B0C">
            <w:pPr>
              <w:jc w:val="center"/>
            </w:pPr>
            <w:r>
              <w:rPr>
                <w:rFonts w:ascii="Arial" w:hAnsi="Arial" w:eastAsia="Arial" w:cs="Arial"/>
                <w:color w:val="1A1A1A"/>
                <w:sz w:val="20"/>
                <w:szCs w:val="20"/>
              </w:rPr>
              <w:t>Majority class — model will favour this by default</w:t>
            </w:r>
          </w:p>
        </w:tc>
      </w:tr>
      <w:tr w14:paraId="1C7C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2A2EA670">
            <w:pPr>
              <w:jc w:val="left"/>
            </w:pPr>
            <w:r>
              <w:rPr>
                <w:rFonts w:ascii="Arial" w:hAnsi="Arial" w:eastAsia="Arial" w:cs="Arial"/>
                <w:color w:val="1A1A1A"/>
                <w:sz w:val="20"/>
                <w:szCs w:val="20"/>
              </w:rPr>
              <w:t>Delinquent (1)</w:t>
            </w:r>
          </w:p>
        </w:tc>
        <w:tc>
          <w:tcPr>
            <w:tcW w:w="14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63DE5A53">
            <w:pPr>
              <w:jc w:val="center"/>
            </w:pPr>
            <w:r>
              <w:rPr>
                <w:rFonts w:ascii="Arial" w:hAnsi="Arial" w:eastAsia="Arial" w:cs="Arial"/>
                <w:color w:val="1A1A1A"/>
                <w:sz w:val="20"/>
                <w:szCs w:val="20"/>
              </w:rPr>
              <w:t>80</w:t>
            </w:r>
          </w:p>
        </w:tc>
        <w:tc>
          <w:tcPr>
            <w:tcW w:w="16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40D33556">
            <w:pPr>
              <w:jc w:val="center"/>
            </w:pPr>
            <w:r>
              <w:rPr>
                <w:rFonts w:ascii="Arial" w:hAnsi="Arial" w:eastAsia="Arial" w:cs="Arial"/>
                <w:color w:val="1A1A1A"/>
                <w:sz w:val="20"/>
                <w:szCs w:val="20"/>
              </w:rPr>
              <w:t>16.0%</w:t>
            </w:r>
          </w:p>
        </w:tc>
        <w:tc>
          <w:tcPr>
            <w:tcW w:w="39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73183128">
            <w:pPr>
              <w:jc w:val="center"/>
            </w:pPr>
            <w:r>
              <w:rPr>
                <w:rFonts w:ascii="Arial" w:hAnsi="Arial" w:eastAsia="Arial" w:cs="Arial"/>
                <w:color w:val="1A1A1A"/>
                <w:sz w:val="20"/>
                <w:szCs w:val="20"/>
              </w:rPr>
              <w:t>Minority class — requires oversampling or threshold tuning</w:t>
            </w:r>
          </w:p>
        </w:tc>
      </w:tr>
    </w:tbl>
    <w:p w14:paraId="03748CB9">
      <w:pPr>
        <w:spacing w:before="0" w:after="160"/>
      </w:pPr>
    </w:p>
    <w:p w14:paraId="1A839A83">
      <w:pPr>
        <w:pStyle w:val="3"/>
        <w:pBdr>
          <w:bottom w:val="single" w:color="2E75B6" w:sz="4" w:space="1"/>
        </w:pBdr>
        <w:spacing w:before="280" w:after="100"/>
      </w:pPr>
      <w:r>
        <w:rPr>
          <w:rFonts w:ascii="Arial" w:hAnsi="Arial" w:eastAsia="Arial" w:cs="Arial"/>
          <w:b/>
          <w:bCs/>
          <w:color w:val="1F4E79"/>
          <w:sz w:val="24"/>
          <w:szCs w:val="24"/>
        </w:rPr>
        <w:t>2.3  Key Anomalies Identified</w:t>
      </w:r>
    </w:p>
    <w:p w14:paraId="45C30A5A">
      <w:pPr>
        <w:spacing w:before="0" w:after="80"/>
      </w:pPr>
    </w:p>
    <w:p w14:paraId="57C79279">
      <w:pPr>
        <w:pStyle w:val="16"/>
        <w:numPr>
          <w:ilvl w:val="0"/>
          <w:numId w:val="1"/>
        </w:numPr>
        <w:spacing w:before="40" w:after="60"/>
      </w:pPr>
      <w:r>
        <w:rPr>
          <w:rFonts w:ascii="Arial" w:hAnsi="Arial" w:eastAsia="Arial" w:cs="Arial"/>
          <w:color w:val="1A1A1A"/>
          <w:sz w:val="22"/>
          <w:szCs w:val="22"/>
        </w:rPr>
        <w:t>Employment status inconsistencies: The Employment_Status column contains five functionally distinct categories but recorded across six entries due to inconsistent capitalisation and abbreviation. Specifically, 'Employed', 'employed', and 'EMP' all represent the same employment state across 322 records. This must be standardised before modelling.</w:t>
      </w:r>
    </w:p>
    <w:p w14:paraId="227D8912">
      <w:pPr>
        <w:pStyle w:val="16"/>
        <w:numPr>
          <w:ilvl w:val="0"/>
          <w:numId w:val="1"/>
        </w:numPr>
        <w:spacing w:before="40" w:after="60"/>
      </w:pPr>
      <w:r>
        <w:rPr>
          <w:rFonts w:ascii="Arial" w:hAnsi="Arial" w:eastAsia="Arial" w:cs="Arial"/>
          <w:color w:val="1A1A1A"/>
          <w:sz w:val="22"/>
          <w:szCs w:val="22"/>
        </w:rPr>
        <w:t>Credit utilisation scale discrepancy: Credit_Utilization values range from 0.05 to 1.03, indicating the variable is stored on a 0–1 decimal scale rather than the 0–100% scale described in the data dictionary. Four records exceed 1.0 (maximum observed: 1.026), which is mathematically impossible and likely reflects a data entry or ETL error. These values require capping or correction.</w:t>
      </w:r>
    </w:p>
    <w:p w14:paraId="0587E809">
      <w:pPr>
        <w:pStyle w:val="16"/>
        <w:numPr>
          <w:ilvl w:val="0"/>
          <w:numId w:val="1"/>
        </w:numPr>
        <w:spacing w:before="40" w:after="60"/>
      </w:pPr>
      <w:r>
        <w:rPr>
          <w:rFonts w:ascii="Arial" w:hAnsi="Arial" w:eastAsia="Arial" w:cs="Arial"/>
          <w:color w:val="1A1A1A"/>
          <w:sz w:val="22"/>
          <w:szCs w:val="22"/>
        </w:rPr>
        <w:t>Debt-to-income ratio formatting: DTI values range from 0.10 to 0.55, confirming this is also recorded as a decimal ratio rather than a percentage. Documentation should be updated to reflect this, and any downstream percentage thresholds should be adjusted accordingly.</w:t>
      </w:r>
    </w:p>
    <w:p w14:paraId="184E3749">
      <w:pPr>
        <w:pStyle w:val="16"/>
        <w:numPr>
          <w:ilvl w:val="0"/>
          <w:numId w:val="1"/>
        </w:numPr>
        <w:spacing w:before="40" w:after="60"/>
      </w:pPr>
      <w:r>
        <w:rPr>
          <w:rFonts w:ascii="Arial" w:hAnsi="Arial" w:eastAsia="Arial" w:cs="Arial"/>
          <w:color w:val="1A1A1A"/>
          <w:sz w:val="22"/>
          <w:szCs w:val="22"/>
        </w:rPr>
        <w:t>Loan balance missingness: 29 records (5.8%) are missing Loan_Balance values. Given that loan balance showed negligible difference between delinquent and non-delinquent groups (mean approx. $48,700 in both), missingness appears random (MCAR). Median imputation is appropriate.</w:t>
      </w:r>
    </w:p>
    <w:p w14:paraId="1E7AE3E9">
      <w:pPr>
        <w:spacing w:before="0" w:after="160"/>
      </w:pPr>
    </w:p>
    <w:p w14:paraId="747AF919">
      <w:pPr>
        <w:pStyle w:val="2"/>
        <w:shd w:val="clear" w:fill="1F4E79"/>
        <w:spacing w:before="360" w:after="120"/>
        <w:ind w:left="120" w:right="120"/>
      </w:pPr>
      <w:r>
        <w:rPr>
          <w:rFonts w:ascii="Arial" w:hAnsi="Arial" w:eastAsia="Arial" w:cs="Arial"/>
          <w:b/>
          <w:bCs/>
          <w:color w:val="FFFFFF"/>
          <w:sz w:val="28"/>
          <w:szCs w:val="28"/>
        </w:rPr>
        <w:t>3.  Missing Data Analysis</w:t>
      </w:r>
    </w:p>
    <w:p w14:paraId="523E2DFB">
      <w:pPr>
        <w:spacing w:before="0" w:after="80"/>
      </w:pPr>
    </w:p>
    <w:p w14:paraId="12F5A5D1">
      <w:pPr>
        <w:spacing w:before="60" w:after="100"/>
        <w:jc w:val="both"/>
      </w:pPr>
      <w:r>
        <w:rPr>
          <w:rFonts w:ascii="Arial" w:hAnsi="Arial" w:eastAsia="Arial" w:cs="Arial"/>
          <w:color w:val="1A1A1A"/>
          <w:sz w:val="22"/>
          <w:szCs w:val="22"/>
        </w:rPr>
        <w:t>Three variables contain missing values. All other 16 columns are complete. The table below summarises the affected variables, the volume of missing records, the recommended treatment approach, and the justification for each decision.</w:t>
      </w:r>
    </w:p>
    <w:p w14:paraId="55B98C0D">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4"/>
        <w:gridCol w:w="1125"/>
        <w:gridCol w:w="1125"/>
        <w:gridCol w:w="2074"/>
        <w:gridCol w:w="3442"/>
      </w:tblGrid>
      <w:tr w14:paraId="71D9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14BEB762">
            <w:pPr>
              <w:jc w:val="center"/>
            </w:pPr>
            <w:r>
              <w:rPr>
                <w:rFonts w:ascii="Arial" w:hAnsi="Arial" w:eastAsia="Arial" w:cs="Arial"/>
                <w:b/>
                <w:bCs/>
                <w:color w:val="FFFFFF"/>
                <w:sz w:val="20"/>
                <w:szCs w:val="20"/>
              </w:rPr>
              <w:t>Variable</w:t>
            </w:r>
          </w:p>
        </w:tc>
        <w:tc>
          <w:tcPr>
            <w:tcW w:w="9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2DD81DFC">
            <w:pPr>
              <w:jc w:val="center"/>
            </w:pPr>
            <w:r>
              <w:rPr>
                <w:rFonts w:ascii="Arial" w:hAnsi="Arial" w:eastAsia="Arial" w:cs="Arial"/>
                <w:b/>
                <w:bCs/>
                <w:color w:val="FFFFFF"/>
                <w:sz w:val="20"/>
                <w:szCs w:val="20"/>
              </w:rPr>
              <w:t>Missing
Count</w:t>
            </w:r>
          </w:p>
        </w:tc>
        <w:tc>
          <w:tcPr>
            <w:tcW w:w="9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1E99CD90">
            <w:pPr>
              <w:jc w:val="center"/>
            </w:pPr>
            <w:r>
              <w:rPr>
                <w:rFonts w:ascii="Arial" w:hAnsi="Arial" w:eastAsia="Arial" w:cs="Arial"/>
                <w:b/>
                <w:bCs/>
                <w:color w:val="FFFFFF"/>
                <w:sz w:val="20"/>
                <w:szCs w:val="20"/>
              </w:rPr>
              <w:t>Missing
%</w:t>
            </w:r>
          </w:p>
        </w:tc>
        <w:tc>
          <w:tcPr>
            <w:tcW w:w="22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04ED6268">
            <w:pPr>
              <w:jc w:val="center"/>
            </w:pPr>
            <w:r>
              <w:rPr>
                <w:rFonts w:ascii="Arial" w:hAnsi="Arial" w:eastAsia="Arial" w:cs="Arial"/>
                <w:b/>
                <w:bCs/>
                <w:color w:val="FFFFFF"/>
                <w:sz w:val="20"/>
                <w:szCs w:val="20"/>
              </w:rPr>
              <w:t>Treatment</w:t>
            </w:r>
          </w:p>
        </w:tc>
        <w:tc>
          <w:tcPr>
            <w:tcW w:w="376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172460A4">
            <w:pPr>
              <w:jc w:val="center"/>
            </w:pPr>
            <w:r>
              <w:rPr>
                <w:rFonts w:ascii="Arial" w:hAnsi="Arial" w:eastAsia="Arial" w:cs="Arial"/>
                <w:b/>
                <w:bCs/>
                <w:color w:val="FFFFFF"/>
                <w:sz w:val="20"/>
                <w:szCs w:val="20"/>
              </w:rPr>
              <w:t>Justification</w:t>
            </w:r>
          </w:p>
        </w:tc>
      </w:tr>
      <w:tr w14:paraId="3030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3796305">
            <w:pPr>
              <w:jc w:val="left"/>
            </w:pPr>
            <w:r>
              <w:rPr>
                <w:rFonts w:ascii="Arial" w:hAnsi="Arial" w:eastAsia="Arial" w:cs="Arial"/>
                <w:color w:val="1A1A1A"/>
                <w:sz w:val="20"/>
                <w:szCs w:val="20"/>
              </w:rPr>
              <w:t>Income</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C790C25">
            <w:pPr>
              <w:jc w:val="center"/>
            </w:pPr>
            <w:r>
              <w:rPr>
                <w:rFonts w:ascii="Arial" w:hAnsi="Arial" w:eastAsia="Arial" w:cs="Arial"/>
                <w:color w:val="1A1A1A"/>
                <w:sz w:val="20"/>
                <w:szCs w:val="20"/>
              </w:rPr>
              <w:t>39</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385BA13">
            <w:pPr>
              <w:jc w:val="center"/>
            </w:pPr>
            <w:r>
              <w:rPr>
                <w:rFonts w:ascii="Arial" w:hAnsi="Arial" w:eastAsia="Arial" w:cs="Arial"/>
                <w:color w:val="1A1A1A"/>
                <w:sz w:val="20"/>
                <w:szCs w:val="20"/>
              </w:rPr>
              <w:t>7.8%</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00734E3">
            <w:pPr>
              <w:jc w:val="center"/>
            </w:pPr>
            <w:r>
              <w:rPr>
                <w:rFonts w:ascii="Arial" w:hAnsi="Arial" w:eastAsia="Arial" w:cs="Arial"/>
                <w:color w:val="1A1A1A"/>
                <w:sz w:val="20"/>
                <w:szCs w:val="20"/>
              </w:rPr>
              <w:t>Median imputation, stratified by Employment Status</w:t>
            </w:r>
          </w:p>
        </w:tc>
        <w:tc>
          <w:tcPr>
            <w:tcW w:w="3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F88FCDF">
            <w:pPr>
              <w:jc w:val="center"/>
            </w:pPr>
            <w:r>
              <w:rPr>
                <w:rFonts w:ascii="Arial" w:hAnsi="Arial" w:eastAsia="Arial" w:cs="Arial"/>
                <w:color w:val="1A1A1A"/>
                <w:sz w:val="20"/>
                <w:szCs w:val="20"/>
              </w:rPr>
              <w:t>Income is moderately skewed; median is more robust than mean. Stratifying by employment captures meaningful income variation across employed, unemployed, and self-employed groups. Missingness is distributed evenly across all employment categories, indicating MCAR.</w:t>
            </w:r>
          </w:p>
        </w:tc>
      </w:tr>
      <w:tr w14:paraId="5DC6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42C7930B">
            <w:pPr>
              <w:jc w:val="left"/>
            </w:pPr>
            <w:r>
              <w:rPr>
                <w:rFonts w:ascii="Arial" w:hAnsi="Arial" w:eastAsia="Arial" w:cs="Arial"/>
                <w:color w:val="1A1A1A"/>
                <w:sz w:val="20"/>
                <w:szCs w:val="20"/>
              </w:rPr>
              <w:t>Credit_Score</w:t>
            </w:r>
          </w:p>
        </w:tc>
        <w:tc>
          <w:tcPr>
            <w:tcW w:w="9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67B85FF8">
            <w:pPr>
              <w:jc w:val="center"/>
            </w:pPr>
            <w:r>
              <w:rPr>
                <w:rFonts w:ascii="Arial" w:hAnsi="Arial" w:eastAsia="Arial" w:cs="Arial"/>
                <w:color w:val="1A1A1A"/>
                <w:sz w:val="20"/>
                <w:szCs w:val="20"/>
              </w:rPr>
              <w:t>2</w:t>
            </w:r>
          </w:p>
        </w:tc>
        <w:tc>
          <w:tcPr>
            <w:tcW w:w="9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4158F670">
            <w:pPr>
              <w:jc w:val="center"/>
            </w:pPr>
            <w:r>
              <w:rPr>
                <w:rFonts w:ascii="Arial" w:hAnsi="Arial" w:eastAsia="Arial" w:cs="Arial"/>
                <w:color w:val="1A1A1A"/>
                <w:sz w:val="20"/>
                <w:szCs w:val="20"/>
              </w:rPr>
              <w:t>0.4%</w:t>
            </w:r>
          </w:p>
        </w:tc>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01FDCFC3">
            <w:pPr>
              <w:jc w:val="center"/>
            </w:pPr>
            <w:r>
              <w:rPr>
                <w:rFonts w:ascii="Arial" w:hAnsi="Arial" w:eastAsia="Arial" w:cs="Arial"/>
                <w:color w:val="1A1A1A"/>
                <w:sz w:val="20"/>
                <w:szCs w:val="20"/>
              </w:rPr>
              <w:t>Median imputation</w:t>
            </w:r>
          </w:p>
        </w:tc>
        <w:tc>
          <w:tcPr>
            <w:tcW w:w="37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06CB1F68">
            <w:pPr>
              <w:jc w:val="center"/>
            </w:pPr>
            <w:r>
              <w:rPr>
                <w:rFonts w:ascii="Arial" w:hAnsi="Arial" w:eastAsia="Arial" w:cs="Arial"/>
                <w:color w:val="1A1A1A"/>
                <w:sz w:val="20"/>
                <w:szCs w:val="20"/>
              </w:rPr>
              <w:t>Only two records affected. Median imputation introduces negligible bias. Predictive imputation would be disproportionate effort for this volume.</w:t>
            </w:r>
          </w:p>
        </w:tc>
      </w:tr>
      <w:tr w14:paraId="4B52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CC9BB1D">
            <w:pPr>
              <w:jc w:val="left"/>
            </w:pPr>
            <w:r>
              <w:rPr>
                <w:rFonts w:ascii="Arial" w:hAnsi="Arial" w:eastAsia="Arial" w:cs="Arial"/>
                <w:color w:val="1A1A1A"/>
                <w:sz w:val="20"/>
                <w:szCs w:val="20"/>
              </w:rPr>
              <w:t>Loan_Balance</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AC37A2B">
            <w:pPr>
              <w:jc w:val="center"/>
            </w:pPr>
            <w:r>
              <w:rPr>
                <w:rFonts w:ascii="Arial" w:hAnsi="Arial" w:eastAsia="Arial" w:cs="Arial"/>
                <w:color w:val="1A1A1A"/>
                <w:sz w:val="20"/>
                <w:szCs w:val="20"/>
              </w:rPr>
              <w:t>29</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D796C90">
            <w:pPr>
              <w:jc w:val="center"/>
            </w:pPr>
            <w:r>
              <w:rPr>
                <w:rFonts w:ascii="Arial" w:hAnsi="Arial" w:eastAsia="Arial" w:cs="Arial"/>
                <w:color w:val="1A1A1A"/>
                <w:sz w:val="20"/>
                <w:szCs w:val="20"/>
              </w:rPr>
              <w:t>5.8%</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8CBD4AF">
            <w:pPr>
              <w:jc w:val="center"/>
            </w:pPr>
            <w:r>
              <w:rPr>
                <w:rFonts w:ascii="Arial" w:hAnsi="Arial" w:eastAsia="Arial" w:cs="Arial"/>
                <w:color w:val="1A1A1A"/>
                <w:sz w:val="20"/>
                <w:szCs w:val="20"/>
              </w:rPr>
              <w:t>Median imputation</w:t>
            </w:r>
          </w:p>
        </w:tc>
        <w:tc>
          <w:tcPr>
            <w:tcW w:w="3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01573F3">
            <w:pPr>
              <w:jc w:val="center"/>
            </w:pPr>
            <w:r>
              <w:rPr>
                <w:rFonts w:ascii="Arial" w:hAnsi="Arial" w:eastAsia="Arial" w:cs="Arial"/>
                <w:color w:val="1A1A1A"/>
                <w:sz w:val="20"/>
                <w:szCs w:val="20"/>
              </w:rPr>
              <w:t>Delinquent and non-delinquent groups show nearly identical loan balance distributions (mean ~$48,700). Missingness is unrelated to delinquency outcome (MCAR), making median imputation appropriate without risk of bias introduction.</w:t>
            </w:r>
          </w:p>
        </w:tc>
      </w:tr>
    </w:tbl>
    <w:p w14:paraId="215FC0E4">
      <w:pPr>
        <w:spacing w:before="0" w:after="80"/>
      </w:pPr>
    </w:p>
    <w:p w14:paraId="11B5D983">
      <w:pPr>
        <w:spacing w:before="60" w:after="100"/>
        <w:jc w:val="both"/>
      </w:pPr>
      <w:r>
        <w:rPr>
          <w:rFonts w:ascii="Arial" w:hAnsi="Arial" w:eastAsia="Arial" w:cs="Arial"/>
          <w:color w:val="1A1A1A"/>
          <w:sz w:val="22"/>
          <w:szCs w:val="22"/>
        </w:rPr>
        <w:t>No columns were dropped. The highest missingness rate is 7.8% (Income), which falls well below the 30–50% threshold typically used to justify column removal in credit risk contexts. All three affected variables carry predictive relevance and should be retained after imputation.</w:t>
      </w:r>
    </w:p>
    <w:p w14:paraId="568518CF">
      <w:pPr>
        <w:spacing w:before="0" w:after="80"/>
      </w:pPr>
    </w:p>
    <w:p w14:paraId="11032BA2">
      <w:pPr>
        <w:spacing w:before="60" w:after="100"/>
        <w:jc w:val="both"/>
      </w:pPr>
      <w:r>
        <w:rPr>
          <w:rFonts w:ascii="Arial" w:hAnsi="Arial" w:eastAsia="Arial" w:cs="Arial"/>
          <w:color w:val="1A1A1A"/>
          <w:sz w:val="22"/>
          <w:szCs w:val="22"/>
        </w:rPr>
        <w:t>For the synthetic data generation component of this task, the following approach is recommended for Income: generate plausible synthetic values using a normal distribution parameterised on the income mean ($108,380) and standard deviation ($53,662) of the observed data, stratified by employment status. This preserves realistic distributional characteristics while avoiding data leakage.</w:t>
      </w:r>
    </w:p>
    <w:p w14:paraId="7C8B50F9">
      <w:pPr>
        <w:spacing w:before="0" w:after="160"/>
      </w:pPr>
    </w:p>
    <w:p w14:paraId="67A2DADC">
      <w:pPr>
        <w:pStyle w:val="2"/>
        <w:shd w:val="clear" w:fill="1F4E79"/>
        <w:spacing w:before="360" w:after="120"/>
        <w:ind w:left="120" w:right="120"/>
      </w:pPr>
      <w:r>
        <w:rPr>
          <w:rFonts w:ascii="Arial" w:hAnsi="Arial" w:eastAsia="Arial" w:cs="Arial"/>
          <w:b/>
          <w:bCs/>
          <w:color w:val="FFFFFF"/>
          <w:sz w:val="28"/>
          <w:szCs w:val="28"/>
        </w:rPr>
        <w:t>4.  Key Findings and Risk Indicators</w:t>
      </w:r>
    </w:p>
    <w:p w14:paraId="3998E4EB">
      <w:pPr>
        <w:spacing w:before="0" w:after="80"/>
      </w:pPr>
    </w:p>
    <w:p w14:paraId="7971DD0C">
      <w:pPr>
        <w:pStyle w:val="3"/>
        <w:pBdr>
          <w:bottom w:val="single" w:color="2E75B6" w:sz="4" w:space="1"/>
        </w:pBdr>
        <w:spacing w:before="280" w:after="100"/>
      </w:pPr>
      <w:r>
        <w:rPr>
          <w:rFonts w:ascii="Arial" w:hAnsi="Arial" w:eastAsia="Arial" w:cs="Arial"/>
          <w:b/>
          <w:bCs/>
          <w:color w:val="1F4E79"/>
          <w:sz w:val="24"/>
          <w:szCs w:val="24"/>
        </w:rPr>
        <w:t>4.1  Customer Demographics</w:t>
      </w:r>
    </w:p>
    <w:p w14:paraId="0C08376B">
      <w:pPr>
        <w:spacing w:before="0" w:after="80"/>
      </w:pPr>
    </w:p>
    <w:p w14:paraId="1FDD8389">
      <w:pPr>
        <w:pStyle w:val="16"/>
        <w:numPr>
          <w:ilvl w:val="0"/>
          <w:numId w:val="1"/>
        </w:numPr>
        <w:spacing w:before="40" w:after="60"/>
      </w:pPr>
      <w:r>
        <w:rPr>
          <w:rFonts w:ascii="Arial" w:hAnsi="Arial" w:eastAsia="Arial" w:cs="Arial"/>
          <w:color w:val="1A1A1A"/>
          <w:sz w:val="22"/>
          <w:szCs w:val="22"/>
        </w:rPr>
        <w:t>Age distribution: Customers range from 18 to 74 years (mean 46.3, SD 16.2). The 46–60 age group shows the highest delinquency rate at 21.7%, notably above the overall 16.0% baseline. Younger customers (18–30) show 14.6%, suggesting mid-career customers face the greatest repayment stress — possibly due to mortgage commitments, dependants, or volatile income.</w:t>
      </w:r>
    </w:p>
    <w:p w14:paraId="6EE3C705">
      <w:pPr>
        <w:pStyle w:val="16"/>
        <w:numPr>
          <w:ilvl w:val="0"/>
          <w:numId w:val="1"/>
        </w:numPr>
        <w:spacing w:before="40" w:after="60"/>
      </w:pPr>
      <w:r>
        <w:rPr>
          <w:rFonts w:ascii="Arial" w:hAnsi="Arial" w:eastAsia="Arial" w:cs="Arial"/>
          <w:color w:val="1A1A1A"/>
          <w:sz w:val="22"/>
          <w:szCs w:val="22"/>
        </w:rPr>
        <w:t>Income range: Annual income spans $15,404 to $199,943 (mean $108,380, median $107,658). The near-symmetry of mean and median indicates a well-behaved income distribution without extreme skew. No statistical outliers were detected using the IQR method. Income alone showed weak direct correlation with delinquency, suggesting it acts as a moderating factor rather than a primary driver.</w:t>
      </w:r>
    </w:p>
    <w:p w14:paraId="5FF05839">
      <w:pPr>
        <w:pStyle w:val="16"/>
        <w:numPr>
          <w:ilvl w:val="0"/>
          <w:numId w:val="1"/>
        </w:numPr>
        <w:spacing w:before="40" w:after="60"/>
      </w:pPr>
      <w:r>
        <w:rPr>
          <w:rFonts w:ascii="Arial" w:hAnsi="Arial" w:eastAsia="Arial" w:cs="Arial"/>
          <w:color w:val="1A1A1A"/>
          <w:sz w:val="22"/>
          <w:szCs w:val="22"/>
        </w:rPr>
        <w:t>Geographic spread: Customers are distributed across five cities — Los Angeles (107), Chicago (103), Phoenix (103), Houston (95), and New York (92). Distribution is broadly even, indicating no single region dominates the portfolio. Regional delinquency analysis did not surface strong geographic clustering in this dataset.</w:t>
      </w:r>
    </w:p>
    <w:p w14:paraId="7A6277F0">
      <w:pPr>
        <w:spacing w:before="0" w:after="160"/>
      </w:pPr>
    </w:p>
    <w:p w14:paraId="73BD64D8">
      <w:pPr>
        <w:pStyle w:val="3"/>
        <w:pBdr>
          <w:bottom w:val="single" w:color="2E75B6" w:sz="4" w:space="1"/>
        </w:pBdr>
        <w:spacing w:before="280" w:after="100"/>
      </w:pPr>
      <w:r>
        <w:rPr>
          <w:rFonts w:ascii="Arial" w:hAnsi="Arial" w:eastAsia="Arial" w:cs="Arial"/>
          <w:b/>
          <w:bCs/>
          <w:color w:val="1F4E79"/>
          <w:sz w:val="24"/>
          <w:szCs w:val="24"/>
        </w:rPr>
        <w:t>4.2  Credit and Financial Risk Indicators</w:t>
      </w:r>
    </w:p>
    <w:p w14:paraId="0C6065E2">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1500"/>
        <w:gridCol w:w="2860"/>
      </w:tblGrid>
      <w:tr w14:paraId="0CFF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50180CCD">
            <w:pPr>
              <w:jc w:val="center"/>
            </w:pPr>
            <w:r>
              <w:rPr>
                <w:rFonts w:ascii="Arial" w:hAnsi="Arial" w:eastAsia="Arial" w:cs="Arial"/>
                <w:b/>
                <w:bCs/>
                <w:color w:val="FFFFFF"/>
                <w:sz w:val="20"/>
                <w:szCs w:val="20"/>
              </w:rPr>
              <w:t>Risk Indicator</w:t>
            </w:r>
          </w:p>
        </w:tc>
        <w:tc>
          <w:tcPr>
            <w:tcW w:w="28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1CD8D50E">
            <w:pPr>
              <w:jc w:val="center"/>
            </w:pPr>
            <w:r>
              <w:rPr>
                <w:rFonts w:ascii="Arial" w:hAnsi="Arial" w:eastAsia="Arial" w:cs="Arial"/>
                <w:b/>
                <w:bCs/>
                <w:color w:val="FFFFFF"/>
                <w:sz w:val="20"/>
                <w:szCs w:val="20"/>
              </w:rPr>
              <w:t>Finding</w:t>
            </w:r>
          </w:p>
        </w:tc>
        <w:tc>
          <w:tcPr>
            <w:tcW w:w="15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46F67AD9">
            <w:pPr>
              <w:jc w:val="center"/>
            </w:pPr>
            <w:r>
              <w:rPr>
                <w:rFonts w:ascii="Arial" w:hAnsi="Arial" w:eastAsia="Arial" w:cs="Arial"/>
                <w:b/>
                <w:bCs/>
                <w:color w:val="FFFFFF"/>
                <w:sz w:val="20"/>
                <w:szCs w:val="20"/>
              </w:rPr>
              <w:t>Delinquency Rate</w:t>
            </w:r>
          </w:p>
        </w:tc>
        <w:tc>
          <w:tcPr>
            <w:tcW w:w="286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302E77C6">
            <w:pPr>
              <w:jc w:val="center"/>
            </w:pPr>
            <w:r>
              <w:rPr>
                <w:rFonts w:ascii="Arial" w:hAnsi="Arial" w:eastAsia="Arial" w:cs="Arial"/>
                <w:b/>
                <w:bCs/>
                <w:color w:val="FFFFFF"/>
                <w:sz w:val="20"/>
                <w:szCs w:val="20"/>
              </w:rPr>
              <w:t>Risk Significance</w:t>
            </w:r>
          </w:p>
        </w:tc>
      </w:tr>
      <w:tr w14:paraId="6B3CE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C05C363">
            <w:pPr>
              <w:jc w:val="left"/>
            </w:pPr>
            <w:r>
              <w:rPr>
                <w:rFonts w:ascii="Arial" w:hAnsi="Arial" w:eastAsia="Arial" w:cs="Arial"/>
                <w:color w:val="1A1A1A"/>
                <w:sz w:val="20"/>
                <w:szCs w:val="20"/>
              </w:rPr>
              <w:t>Unemployment</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E07ADD8">
            <w:pPr>
              <w:jc w:val="center"/>
            </w:pPr>
            <w:r>
              <w:rPr>
                <w:rFonts w:ascii="Arial" w:hAnsi="Arial" w:eastAsia="Arial" w:cs="Arial"/>
                <w:color w:val="1A1A1A"/>
                <w:sz w:val="20"/>
                <w:szCs w:val="20"/>
              </w:rPr>
              <w:t>93 customers (18.6%) classified as unemployed</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9F68659">
            <w:pPr>
              <w:jc w:val="center"/>
            </w:pPr>
            <w:r>
              <w:rPr>
                <w:rFonts w:ascii="Arial" w:hAnsi="Arial" w:eastAsia="Arial" w:cs="Arial"/>
                <w:color w:val="1A1A1A"/>
                <w:sz w:val="20"/>
                <w:szCs w:val="20"/>
              </w:rPr>
              <w:t>19.4%</w:t>
            </w:r>
          </w:p>
        </w:tc>
        <w:tc>
          <w:tcPr>
            <w:tcW w:w="2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6E5ED1E">
            <w:pPr>
              <w:jc w:val="center"/>
            </w:pPr>
            <w:r>
              <w:rPr>
                <w:rFonts w:ascii="Arial" w:hAnsi="Arial" w:eastAsia="Arial" w:cs="Arial"/>
                <w:color w:val="1A1A1A"/>
                <w:sz w:val="20"/>
                <w:szCs w:val="20"/>
              </w:rPr>
              <w:t>High — highest employment segment rate</w:t>
            </w:r>
          </w:p>
        </w:tc>
      </w:tr>
      <w:tr w14:paraId="4861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6FEEE84A">
            <w:pPr>
              <w:jc w:val="left"/>
            </w:pPr>
            <w:r>
              <w:rPr>
                <w:rFonts w:ascii="Arial" w:hAnsi="Arial" w:eastAsia="Arial" w:cs="Arial"/>
                <w:color w:val="1A1A1A"/>
                <w:sz w:val="20"/>
                <w:szCs w:val="20"/>
              </w:rPr>
              <w:t>High DTI (&gt;40%)</w:t>
            </w:r>
          </w:p>
        </w:tc>
        <w:tc>
          <w:tcPr>
            <w:tcW w:w="28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73C5C195">
            <w:pPr>
              <w:jc w:val="center"/>
            </w:pPr>
            <w:r>
              <w:rPr>
                <w:rFonts w:ascii="Arial" w:hAnsi="Arial" w:eastAsia="Arial" w:cs="Arial"/>
                <w:color w:val="1A1A1A"/>
                <w:sz w:val="20"/>
                <w:szCs w:val="20"/>
              </w:rPr>
              <w:t>74 customers exceed 40% debt-to-income ratio</w:t>
            </w:r>
          </w:p>
        </w:tc>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70292503">
            <w:pPr>
              <w:jc w:val="center"/>
            </w:pPr>
            <w:r>
              <w:rPr>
                <w:rFonts w:ascii="Arial" w:hAnsi="Arial" w:eastAsia="Arial" w:cs="Arial"/>
                <w:color w:val="1A1A1A"/>
                <w:sz w:val="20"/>
                <w:szCs w:val="20"/>
              </w:rPr>
              <w:t>18.9%</w:t>
            </w:r>
          </w:p>
        </w:tc>
        <w:tc>
          <w:tcPr>
            <w:tcW w:w="28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6F7F08D8">
            <w:pPr>
              <w:jc w:val="center"/>
            </w:pPr>
            <w:r>
              <w:rPr>
                <w:rFonts w:ascii="Arial" w:hAnsi="Arial" w:eastAsia="Arial" w:cs="Arial"/>
                <w:color w:val="1A1A1A"/>
                <w:sz w:val="20"/>
                <w:szCs w:val="20"/>
              </w:rPr>
              <w:t>High — above-average delinquency rate</w:t>
            </w:r>
          </w:p>
        </w:tc>
      </w:tr>
      <w:tr w14:paraId="16767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442560A">
            <w:pPr>
              <w:jc w:val="left"/>
            </w:pPr>
            <w:r>
              <w:rPr>
                <w:rFonts w:ascii="Arial" w:hAnsi="Arial" w:eastAsia="Arial" w:cs="Arial"/>
                <w:color w:val="1A1A1A"/>
                <w:sz w:val="20"/>
                <w:szCs w:val="20"/>
              </w:rPr>
              <w:t>Business card holders</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A9FCBB8">
            <w:pPr>
              <w:jc w:val="center"/>
            </w:pPr>
            <w:r>
              <w:rPr>
                <w:rFonts w:ascii="Arial" w:hAnsi="Arial" w:eastAsia="Arial" w:cs="Arial"/>
                <w:color w:val="1A1A1A"/>
                <w:sz w:val="20"/>
                <w:szCs w:val="20"/>
              </w:rPr>
              <w:t>108 customers hold Business card type</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2791D8D">
            <w:pPr>
              <w:jc w:val="center"/>
            </w:pPr>
            <w:r>
              <w:rPr>
                <w:rFonts w:ascii="Arial" w:hAnsi="Arial" w:eastAsia="Arial" w:cs="Arial"/>
                <w:color w:val="1A1A1A"/>
                <w:sz w:val="20"/>
                <w:szCs w:val="20"/>
              </w:rPr>
              <w:t>21.3%</w:t>
            </w:r>
          </w:p>
        </w:tc>
        <w:tc>
          <w:tcPr>
            <w:tcW w:w="2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BD7C5A0">
            <w:pPr>
              <w:jc w:val="center"/>
            </w:pPr>
            <w:r>
              <w:rPr>
                <w:rFonts w:ascii="Arial" w:hAnsi="Arial" w:eastAsia="Arial" w:cs="Arial"/>
                <w:color w:val="1A1A1A"/>
                <w:sz w:val="20"/>
                <w:szCs w:val="20"/>
              </w:rPr>
              <w:t>High — highest delinquency by card type</w:t>
            </w:r>
          </w:p>
        </w:tc>
      </w:tr>
      <w:tr w14:paraId="57B72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6ED8C849">
            <w:pPr>
              <w:jc w:val="left"/>
            </w:pPr>
            <w:r>
              <w:rPr>
                <w:rFonts w:ascii="Arial" w:hAnsi="Arial" w:eastAsia="Arial" w:cs="Arial"/>
                <w:color w:val="1A1A1A"/>
                <w:sz w:val="20"/>
                <w:szCs w:val="20"/>
              </w:rPr>
              <w:t>Student card holders</w:t>
            </w:r>
          </w:p>
        </w:tc>
        <w:tc>
          <w:tcPr>
            <w:tcW w:w="28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6B7C9255">
            <w:pPr>
              <w:jc w:val="center"/>
            </w:pPr>
            <w:r>
              <w:rPr>
                <w:rFonts w:ascii="Arial" w:hAnsi="Arial" w:eastAsia="Arial" w:cs="Arial"/>
                <w:color w:val="1A1A1A"/>
                <w:sz w:val="20"/>
                <w:szCs w:val="20"/>
              </w:rPr>
              <w:t>112 customers hold Student card</w:t>
            </w:r>
          </w:p>
        </w:tc>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47D4944F">
            <w:pPr>
              <w:jc w:val="center"/>
            </w:pPr>
            <w:r>
              <w:rPr>
                <w:rFonts w:ascii="Arial" w:hAnsi="Arial" w:eastAsia="Arial" w:cs="Arial"/>
                <w:color w:val="1A1A1A"/>
                <w:sz w:val="20"/>
                <w:szCs w:val="20"/>
              </w:rPr>
              <w:t>17.9%</w:t>
            </w:r>
          </w:p>
        </w:tc>
        <w:tc>
          <w:tcPr>
            <w:tcW w:w="28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36893041">
            <w:pPr>
              <w:jc w:val="center"/>
            </w:pPr>
            <w:r>
              <w:rPr>
                <w:rFonts w:ascii="Arial" w:hAnsi="Arial" w:eastAsia="Arial" w:cs="Arial"/>
                <w:color w:val="1A1A1A"/>
                <w:sz w:val="20"/>
                <w:szCs w:val="20"/>
              </w:rPr>
              <w:t>Medium — above baseline</w:t>
            </w:r>
          </w:p>
        </w:tc>
      </w:tr>
      <w:tr w14:paraId="2F7D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B3C3CAF">
            <w:pPr>
              <w:jc w:val="left"/>
            </w:pPr>
            <w:r>
              <w:rPr>
                <w:rFonts w:ascii="Arial" w:hAnsi="Arial" w:eastAsia="Arial" w:cs="Arial"/>
                <w:color w:val="1A1A1A"/>
                <w:sz w:val="20"/>
                <w:szCs w:val="20"/>
              </w:rPr>
              <w:t>Retired customers</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3EE58AAA">
            <w:pPr>
              <w:jc w:val="center"/>
            </w:pPr>
            <w:r>
              <w:rPr>
                <w:rFonts w:ascii="Arial" w:hAnsi="Arial" w:eastAsia="Arial" w:cs="Arial"/>
                <w:color w:val="1A1A1A"/>
                <w:sz w:val="20"/>
                <w:szCs w:val="20"/>
              </w:rPr>
              <w:t>87 customers classified as retired</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6287E72">
            <w:pPr>
              <w:jc w:val="center"/>
            </w:pPr>
            <w:r>
              <w:rPr>
                <w:rFonts w:ascii="Arial" w:hAnsi="Arial" w:eastAsia="Arial" w:cs="Arial"/>
                <w:color w:val="1A1A1A"/>
                <w:sz w:val="20"/>
                <w:szCs w:val="20"/>
              </w:rPr>
              <w:t>11.5%</w:t>
            </w:r>
          </w:p>
        </w:tc>
        <w:tc>
          <w:tcPr>
            <w:tcW w:w="2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C1205A4">
            <w:pPr>
              <w:jc w:val="center"/>
            </w:pPr>
            <w:r>
              <w:rPr>
                <w:rFonts w:ascii="Arial" w:hAnsi="Arial" w:eastAsia="Arial" w:cs="Arial"/>
                <w:color w:val="1A1A1A"/>
                <w:sz w:val="20"/>
                <w:szCs w:val="20"/>
              </w:rPr>
              <w:t>Low risk — lowest employment segment</w:t>
            </w:r>
          </w:p>
        </w:tc>
      </w:tr>
      <w:tr w14:paraId="5721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5B7620B1">
            <w:pPr>
              <w:jc w:val="left"/>
            </w:pPr>
            <w:r>
              <w:rPr>
                <w:rFonts w:ascii="Arial" w:hAnsi="Arial" w:eastAsia="Arial" w:cs="Arial"/>
                <w:color w:val="1A1A1A"/>
                <w:sz w:val="20"/>
                <w:szCs w:val="20"/>
              </w:rPr>
              <w:t>Platinum card holders</w:t>
            </w:r>
          </w:p>
        </w:tc>
        <w:tc>
          <w:tcPr>
            <w:tcW w:w="28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6DCA18CB">
            <w:pPr>
              <w:jc w:val="center"/>
            </w:pPr>
            <w:r>
              <w:rPr>
                <w:rFonts w:ascii="Arial" w:hAnsi="Arial" w:eastAsia="Arial" w:cs="Arial"/>
                <w:color w:val="1A1A1A"/>
                <w:sz w:val="20"/>
                <w:szCs w:val="20"/>
              </w:rPr>
              <w:t>76 customers hold Platinum card</w:t>
            </w:r>
          </w:p>
        </w:tc>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706DC19E">
            <w:pPr>
              <w:jc w:val="center"/>
            </w:pPr>
            <w:r>
              <w:rPr>
                <w:rFonts w:ascii="Arial" w:hAnsi="Arial" w:eastAsia="Arial" w:cs="Arial"/>
                <w:color w:val="1A1A1A"/>
                <w:sz w:val="20"/>
                <w:szCs w:val="20"/>
              </w:rPr>
              <w:t>11.8%</w:t>
            </w:r>
          </w:p>
        </w:tc>
        <w:tc>
          <w:tcPr>
            <w:tcW w:w="28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761AD059">
            <w:pPr>
              <w:jc w:val="center"/>
            </w:pPr>
            <w:r>
              <w:rPr>
                <w:rFonts w:ascii="Arial" w:hAnsi="Arial" w:eastAsia="Arial" w:cs="Arial"/>
                <w:color w:val="1A1A1A"/>
                <w:sz w:val="20"/>
                <w:szCs w:val="20"/>
              </w:rPr>
              <w:t>Low risk — lowest card-type rate</w:t>
            </w:r>
          </w:p>
        </w:tc>
      </w:tr>
    </w:tbl>
    <w:p w14:paraId="31592363">
      <w:pPr>
        <w:spacing w:before="0" w:after="160"/>
      </w:pPr>
    </w:p>
    <w:p w14:paraId="14AEDA14">
      <w:pPr>
        <w:pStyle w:val="3"/>
        <w:pBdr>
          <w:bottom w:val="single" w:color="2E75B6" w:sz="4" w:space="1"/>
        </w:pBdr>
        <w:spacing w:before="280" w:after="100"/>
      </w:pPr>
      <w:r>
        <w:rPr>
          <w:rFonts w:ascii="Arial" w:hAnsi="Arial" w:eastAsia="Arial" w:cs="Arial"/>
          <w:b/>
          <w:bCs/>
          <w:color w:val="1F4E79"/>
          <w:sz w:val="24"/>
          <w:szCs w:val="24"/>
        </w:rPr>
        <w:t>4.3  Credit Score Analysis</w:t>
      </w:r>
    </w:p>
    <w:p w14:paraId="275A05D7">
      <w:pPr>
        <w:spacing w:before="0" w:after="80"/>
      </w:pPr>
    </w:p>
    <w:p w14:paraId="599FD095">
      <w:pPr>
        <w:spacing w:before="60" w:after="100"/>
        <w:jc w:val="both"/>
      </w:pPr>
      <w:r>
        <w:rPr>
          <w:rFonts w:ascii="Arial" w:hAnsi="Arial" w:eastAsia="Arial" w:cs="Arial"/>
          <w:color w:val="1A1A1A"/>
          <w:sz w:val="22"/>
          <w:szCs w:val="22"/>
        </w:rPr>
        <w:t>Credit scores range from 301 to 847 (mean 578, median 586). A counterintuitive finding emerged: delinquency rates do not decrease monotonically with credit score improvement. Customers in the 'Good' band (650–750) show a 18.3% delinquency rate, marginally higher than the 'Poor' band (300–500) at 16.2%. This may reflect that credit scoring in this dataset does not fully capture recent behavioural deterioration, or that historically good-credit customers are now experiencing financial stress not yet reflected in their scores.</w:t>
      </w:r>
    </w:p>
    <w:p w14:paraId="769A5075">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2000"/>
        <w:gridCol w:w="3860"/>
      </w:tblGrid>
      <w:tr w14:paraId="3C86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531E6908">
            <w:pPr>
              <w:jc w:val="center"/>
            </w:pPr>
            <w:r>
              <w:rPr>
                <w:rFonts w:ascii="Arial" w:hAnsi="Arial" w:eastAsia="Arial" w:cs="Arial"/>
                <w:b/>
                <w:bCs/>
                <w:color w:val="FFFFFF"/>
                <w:sz w:val="20"/>
                <w:szCs w:val="20"/>
              </w:rPr>
              <w:t>Credit Score Band</w:t>
            </w:r>
          </w:p>
        </w:tc>
        <w:tc>
          <w:tcPr>
            <w:tcW w:w="15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65E91D9D">
            <w:pPr>
              <w:jc w:val="center"/>
            </w:pPr>
            <w:r>
              <w:rPr>
                <w:rFonts w:ascii="Arial" w:hAnsi="Arial" w:eastAsia="Arial" w:cs="Arial"/>
                <w:b/>
                <w:bCs/>
                <w:color w:val="FFFFFF"/>
                <w:sz w:val="20"/>
                <w:szCs w:val="20"/>
              </w:rPr>
              <w:t>Range</w:t>
            </w:r>
          </w:p>
        </w:tc>
        <w:tc>
          <w:tcPr>
            <w:tcW w:w="20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5E2D5F7D">
            <w:pPr>
              <w:jc w:val="center"/>
            </w:pPr>
            <w:r>
              <w:rPr>
                <w:rFonts w:ascii="Arial" w:hAnsi="Arial" w:eastAsia="Arial" w:cs="Arial"/>
                <w:b/>
                <w:bCs/>
                <w:color w:val="FFFFFF"/>
                <w:sz w:val="20"/>
                <w:szCs w:val="20"/>
              </w:rPr>
              <w:t>Customer Count</w:t>
            </w:r>
          </w:p>
        </w:tc>
        <w:tc>
          <w:tcPr>
            <w:tcW w:w="386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2F093580">
            <w:pPr>
              <w:jc w:val="center"/>
            </w:pPr>
            <w:r>
              <w:rPr>
                <w:rFonts w:ascii="Arial" w:hAnsi="Arial" w:eastAsia="Arial" w:cs="Arial"/>
                <w:b/>
                <w:bCs/>
                <w:color w:val="FFFFFF"/>
                <w:sz w:val="20"/>
                <w:szCs w:val="20"/>
              </w:rPr>
              <w:t>Delinquency Rate</w:t>
            </w:r>
          </w:p>
        </w:tc>
      </w:tr>
      <w:tr w14:paraId="7DE10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2497C5A">
            <w:pPr>
              <w:jc w:val="left"/>
            </w:pPr>
            <w:r>
              <w:rPr>
                <w:rFonts w:ascii="Arial" w:hAnsi="Arial" w:eastAsia="Arial" w:cs="Arial"/>
                <w:color w:val="1A1A1A"/>
                <w:sz w:val="20"/>
                <w:szCs w:val="20"/>
              </w:rPr>
              <w:t>Poor</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C0C4CE5">
            <w:pPr>
              <w:jc w:val="center"/>
            </w:pPr>
            <w:r>
              <w:rPr>
                <w:rFonts w:ascii="Arial" w:hAnsi="Arial" w:eastAsia="Arial" w:cs="Arial"/>
                <w:color w:val="1A1A1A"/>
                <w:sz w:val="20"/>
                <w:szCs w:val="20"/>
              </w:rPr>
              <w:t>300–500</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DD8B991">
            <w:pPr>
              <w:jc w:val="center"/>
            </w:pPr>
            <w:r>
              <w:rPr>
                <w:rFonts w:ascii="Arial" w:hAnsi="Arial" w:eastAsia="Arial" w:cs="Arial"/>
                <w:color w:val="1A1A1A"/>
                <w:sz w:val="20"/>
                <w:szCs w:val="20"/>
              </w:rPr>
              <w:t>~160</w:t>
            </w:r>
          </w:p>
        </w:tc>
        <w:tc>
          <w:tcPr>
            <w:tcW w:w="3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F78A3DF">
            <w:pPr>
              <w:jc w:val="center"/>
            </w:pPr>
            <w:r>
              <w:rPr>
                <w:rFonts w:ascii="Arial" w:hAnsi="Arial" w:eastAsia="Arial" w:cs="Arial"/>
                <w:color w:val="1A1A1A"/>
                <w:sz w:val="20"/>
                <w:szCs w:val="20"/>
              </w:rPr>
              <w:t>16.2%</w:t>
            </w:r>
          </w:p>
        </w:tc>
      </w:tr>
      <w:tr w14:paraId="0505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547E0028">
            <w:pPr>
              <w:jc w:val="left"/>
            </w:pPr>
            <w:r>
              <w:rPr>
                <w:rFonts w:ascii="Arial" w:hAnsi="Arial" w:eastAsia="Arial" w:cs="Arial"/>
                <w:color w:val="1A1A1A"/>
                <w:sz w:val="20"/>
                <w:szCs w:val="20"/>
              </w:rPr>
              <w:t>Fair</w:t>
            </w:r>
          </w:p>
        </w:tc>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5D2DF298">
            <w:pPr>
              <w:jc w:val="center"/>
            </w:pPr>
            <w:r>
              <w:rPr>
                <w:rFonts w:ascii="Arial" w:hAnsi="Arial" w:eastAsia="Arial" w:cs="Arial"/>
                <w:color w:val="1A1A1A"/>
                <w:sz w:val="20"/>
                <w:szCs w:val="20"/>
              </w:rPr>
              <w:t>500–650</w:t>
            </w:r>
          </w:p>
        </w:tc>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222B008F">
            <w:pPr>
              <w:jc w:val="center"/>
            </w:pPr>
            <w:r>
              <w:rPr>
                <w:rFonts w:ascii="Arial" w:hAnsi="Arial" w:eastAsia="Arial" w:cs="Arial"/>
                <w:color w:val="1A1A1A"/>
                <w:sz w:val="20"/>
                <w:szCs w:val="20"/>
              </w:rPr>
              <w:t>~138</w:t>
            </w:r>
          </w:p>
        </w:tc>
        <w:tc>
          <w:tcPr>
            <w:tcW w:w="38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2903C48C">
            <w:pPr>
              <w:jc w:val="center"/>
            </w:pPr>
            <w:r>
              <w:rPr>
                <w:rFonts w:ascii="Arial" w:hAnsi="Arial" w:eastAsia="Arial" w:cs="Arial"/>
                <w:color w:val="1A1A1A"/>
                <w:sz w:val="20"/>
                <w:szCs w:val="20"/>
              </w:rPr>
              <w:t>13.2%</w:t>
            </w:r>
          </w:p>
        </w:tc>
      </w:tr>
      <w:tr w14:paraId="3D87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1F17C438">
            <w:pPr>
              <w:jc w:val="left"/>
            </w:pPr>
            <w:r>
              <w:rPr>
                <w:rFonts w:ascii="Arial" w:hAnsi="Arial" w:eastAsia="Arial" w:cs="Arial"/>
                <w:color w:val="1A1A1A"/>
                <w:sz w:val="20"/>
                <w:szCs w:val="20"/>
              </w:rPr>
              <w:t>Good</w:t>
            </w:r>
          </w:p>
        </w:tc>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E667AFC">
            <w:pPr>
              <w:jc w:val="center"/>
            </w:pPr>
            <w:r>
              <w:rPr>
                <w:rFonts w:ascii="Arial" w:hAnsi="Arial" w:eastAsia="Arial" w:cs="Arial"/>
                <w:color w:val="1A1A1A"/>
                <w:sz w:val="20"/>
                <w:szCs w:val="20"/>
              </w:rPr>
              <w:t>650–750</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E9106F1">
            <w:pPr>
              <w:jc w:val="center"/>
            </w:pPr>
            <w:r>
              <w:rPr>
                <w:rFonts w:ascii="Arial" w:hAnsi="Arial" w:eastAsia="Arial" w:cs="Arial"/>
                <w:color w:val="1A1A1A"/>
                <w:sz w:val="20"/>
                <w:szCs w:val="20"/>
              </w:rPr>
              <w:t>~109</w:t>
            </w:r>
          </w:p>
        </w:tc>
        <w:tc>
          <w:tcPr>
            <w:tcW w:w="3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E6B0844">
            <w:pPr>
              <w:jc w:val="center"/>
            </w:pPr>
            <w:r>
              <w:rPr>
                <w:rFonts w:ascii="Arial" w:hAnsi="Arial" w:eastAsia="Arial" w:cs="Arial"/>
                <w:color w:val="1A1A1A"/>
                <w:sz w:val="20"/>
                <w:szCs w:val="20"/>
              </w:rPr>
              <w:t>18.3%</w:t>
            </w:r>
          </w:p>
        </w:tc>
      </w:tr>
      <w:tr w14:paraId="02F3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67E5E32D">
            <w:pPr>
              <w:jc w:val="left"/>
            </w:pPr>
            <w:r>
              <w:rPr>
                <w:rFonts w:ascii="Arial" w:hAnsi="Arial" w:eastAsia="Arial" w:cs="Arial"/>
                <w:color w:val="1A1A1A"/>
                <w:sz w:val="20"/>
                <w:szCs w:val="20"/>
              </w:rPr>
              <w:t>Excellent</w:t>
            </w:r>
          </w:p>
        </w:tc>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45BF7478">
            <w:pPr>
              <w:jc w:val="center"/>
            </w:pPr>
            <w:r>
              <w:rPr>
                <w:rFonts w:ascii="Arial" w:hAnsi="Arial" w:eastAsia="Arial" w:cs="Arial"/>
                <w:color w:val="1A1A1A"/>
                <w:sz w:val="20"/>
                <w:szCs w:val="20"/>
              </w:rPr>
              <w:t>750+</w:t>
            </w:r>
          </w:p>
        </w:tc>
        <w:tc>
          <w:tcPr>
            <w:tcW w:w="2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6B927B3D">
            <w:pPr>
              <w:jc w:val="center"/>
            </w:pPr>
            <w:r>
              <w:rPr>
                <w:rFonts w:ascii="Arial" w:hAnsi="Arial" w:eastAsia="Arial" w:cs="Arial"/>
                <w:color w:val="1A1A1A"/>
                <w:sz w:val="20"/>
                <w:szCs w:val="20"/>
              </w:rPr>
              <w:t>~91</w:t>
            </w:r>
          </w:p>
        </w:tc>
        <w:tc>
          <w:tcPr>
            <w:tcW w:w="38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55C34A25">
            <w:pPr>
              <w:jc w:val="center"/>
            </w:pPr>
            <w:r>
              <w:rPr>
                <w:rFonts w:ascii="Arial" w:hAnsi="Arial" w:eastAsia="Arial" w:cs="Arial"/>
                <w:color w:val="1A1A1A"/>
                <w:sz w:val="20"/>
                <w:szCs w:val="20"/>
              </w:rPr>
              <w:t>17.3%</w:t>
            </w:r>
          </w:p>
        </w:tc>
      </w:tr>
    </w:tbl>
    <w:p w14:paraId="7E654E49">
      <w:pPr>
        <w:spacing w:before="0" w:after="160"/>
      </w:pPr>
    </w:p>
    <w:p w14:paraId="50CAACE1">
      <w:pPr>
        <w:pStyle w:val="3"/>
        <w:pBdr>
          <w:bottom w:val="single" w:color="2E75B6" w:sz="4" w:space="1"/>
        </w:pBdr>
        <w:spacing w:before="280" w:after="100"/>
      </w:pPr>
      <w:r>
        <w:rPr>
          <w:rFonts w:ascii="Arial" w:hAnsi="Arial" w:eastAsia="Arial" w:cs="Arial"/>
          <w:b/>
          <w:bCs/>
          <w:color w:val="1F4E79"/>
          <w:sz w:val="24"/>
          <w:szCs w:val="24"/>
        </w:rPr>
        <w:t>4.4  Payment History (Month 1–6)</w:t>
      </w:r>
    </w:p>
    <w:p w14:paraId="0D59ECCD">
      <w:pPr>
        <w:spacing w:before="0" w:after="80"/>
      </w:pPr>
    </w:p>
    <w:p w14:paraId="3EAE8F1D">
      <w:pPr>
        <w:spacing w:before="60" w:after="100"/>
        <w:jc w:val="both"/>
      </w:pPr>
      <w:r>
        <w:rPr>
          <w:rFonts w:ascii="Arial" w:hAnsi="Arial" w:eastAsia="Arial" w:cs="Arial"/>
          <w:color w:val="1A1A1A"/>
          <w:sz w:val="22"/>
          <w:szCs w:val="22"/>
        </w:rPr>
        <w:t>Six months of payment history are recorded per customer. Across the full dataset, payment events are broadly distributed: Month 1 alone records 177 on-time (35.4%), 164 missed (32.8%), and 159 late (31.8%) payments. The near-equal split across all three states — and its consistency across all six months — is unusual and warrants further investigation. In typical credit portfolios, on-time payments significantly outnumber missed and late events.</w:t>
      </w:r>
    </w:p>
    <w:p w14:paraId="351536E3">
      <w:pPr>
        <w:spacing w:before="0" w:after="80"/>
      </w:pPr>
    </w:p>
    <w:p w14:paraId="7AD8F8A4">
      <w:pPr>
        <w:pStyle w:val="16"/>
        <w:numPr>
          <w:ilvl w:val="0"/>
          <w:numId w:val="1"/>
        </w:numPr>
        <w:spacing w:before="40" w:after="60"/>
      </w:pPr>
      <w:r>
        <w:rPr>
          <w:rFonts w:ascii="Arial" w:hAnsi="Arial" w:eastAsia="Arial" w:cs="Arial"/>
          <w:color w:val="1A1A1A"/>
          <w:sz w:val="22"/>
          <w:szCs w:val="22"/>
        </w:rPr>
        <w:t>Possible explanation 1: The dataset is intentionally enriched with higher-risk customers to provide sufficient signal for delinquency modelling. This is common in synthetic or sampled training datasets.</w:t>
      </w:r>
    </w:p>
    <w:p w14:paraId="7395653B">
      <w:pPr>
        <w:pStyle w:val="16"/>
        <w:numPr>
          <w:ilvl w:val="0"/>
          <w:numId w:val="1"/>
        </w:numPr>
        <w:spacing w:before="40" w:after="60"/>
      </w:pPr>
      <w:r>
        <w:rPr>
          <w:rFonts w:ascii="Arial" w:hAnsi="Arial" w:eastAsia="Arial" w:cs="Arial"/>
          <w:color w:val="1A1A1A"/>
          <w:sz w:val="22"/>
          <w:szCs w:val="22"/>
        </w:rPr>
        <w:t>Possible explanation 2: The payment history encoding may have been applied to a pre-filtered at-risk cohort rather than the full customer base.</w:t>
      </w:r>
    </w:p>
    <w:p w14:paraId="32268942">
      <w:pPr>
        <w:pStyle w:val="16"/>
        <w:numPr>
          <w:ilvl w:val="0"/>
          <w:numId w:val="1"/>
        </w:numPr>
        <w:spacing w:before="40" w:after="60"/>
      </w:pPr>
      <w:r>
        <w:rPr>
          <w:rFonts w:ascii="Arial" w:hAnsi="Arial" w:eastAsia="Arial" w:cs="Arial"/>
          <w:color w:val="1A1A1A"/>
          <w:sz w:val="22"/>
          <w:szCs w:val="22"/>
        </w:rPr>
        <w:t>Recommendation: Geldium's analytics team should confirm whether this dataset represents a full customer sample or a risk-stratified subset. This distinction materially affects how model output probabilities should be calibrated.</w:t>
      </w:r>
    </w:p>
    <w:p w14:paraId="0C397FF1">
      <w:pPr>
        <w:spacing w:before="0" w:after="160"/>
      </w:pPr>
    </w:p>
    <w:p w14:paraId="5274B44A">
      <w:pPr>
        <w:pStyle w:val="3"/>
        <w:pBdr>
          <w:bottom w:val="single" w:color="2E75B6" w:sz="4" w:space="1"/>
        </w:pBdr>
        <w:spacing w:before="280" w:after="100"/>
      </w:pPr>
      <w:r>
        <w:rPr>
          <w:rFonts w:ascii="Arial" w:hAnsi="Arial" w:eastAsia="Arial" w:cs="Arial"/>
          <w:b/>
          <w:bCs/>
          <w:color w:val="1F4E79"/>
          <w:sz w:val="24"/>
          <w:szCs w:val="24"/>
        </w:rPr>
        <w:t>4.5  Unexpected Findings</w:t>
      </w:r>
    </w:p>
    <w:p w14:paraId="089A868A">
      <w:pPr>
        <w:spacing w:before="0" w:after="80"/>
      </w:pPr>
    </w:p>
    <w:p w14:paraId="59F92211">
      <w:pPr>
        <w:pStyle w:val="16"/>
        <w:numPr>
          <w:ilvl w:val="0"/>
          <w:numId w:val="1"/>
        </w:numPr>
        <w:spacing w:before="40" w:after="60"/>
      </w:pPr>
      <w:r>
        <w:rPr>
          <w:rFonts w:ascii="Arial" w:hAnsi="Arial" w:eastAsia="Arial" w:cs="Arial"/>
          <w:color w:val="1A1A1A"/>
          <w:sz w:val="22"/>
          <w:szCs w:val="22"/>
        </w:rPr>
        <w:t>Loan balance is not predictive: Mean loan balance is nearly identical between delinquent ($48,358) and non-delinquent ($48,709) customers. This is counterintuitive — higher balances might be expected to increase default risk — but suggests that Geldium's delinquency problem is driven more by behavioural and employment factors than by the absolute size of debt.</w:t>
      </w:r>
    </w:p>
    <w:p w14:paraId="45E4310F">
      <w:pPr>
        <w:pStyle w:val="16"/>
        <w:numPr>
          <w:ilvl w:val="0"/>
          <w:numId w:val="1"/>
        </w:numPr>
        <w:spacing w:before="40" w:after="60"/>
      </w:pPr>
      <w:r>
        <w:rPr>
          <w:rFonts w:ascii="Arial" w:hAnsi="Arial" w:eastAsia="Arial" w:cs="Arial"/>
          <w:color w:val="1A1A1A"/>
          <w:sz w:val="22"/>
          <w:szCs w:val="22"/>
        </w:rPr>
        <w:t>Credit score counterintuitiveness: Higher credit score bands do not consistently correlate with lower delinquency. This suggests the credit scores in the dataset may lag behind recent behavioural changes, or that the sample includes customers whose scores have not yet been updated to reflect emerging distress.</w:t>
      </w:r>
    </w:p>
    <w:p w14:paraId="098D79B9">
      <w:pPr>
        <w:pStyle w:val="16"/>
        <w:numPr>
          <w:ilvl w:val="0"/>
          <w:numId w:val="1"/>
        </w:numPr>
        <w:spacing w:before="40" w:after="60"/>
      </w:pPr>
      <w:r>
        <w:rPr>
          <w:rFonts w:ascii="Arial" w:hAnsi="Arial" w:eastAsia="Arial" w:cs="Arial"/>
          <w:color w:val="1A1A1A"/>
          <w:sz w:val="22"/>
          <w:szCs w:val="22"/>
        </w:rPr>
        <w:t>Employment category fragmentation: Three distinct string values represent 'Employed' status. After standardisation, employed customers (combined: 319 records) represent the largest employment segment. The fragmentation introduces noise in any model that ingests raw employment status values.</w:t>
      </w:r>
    </w:p>
    <w:p w14:paraId="4F3C6232">
      <w:pPr>
        <w:spacing w:before="0" w:after="160"/>
      </w:pPr>
    </w:p>
    <w:p w14:paraId="5DBD6EFD">
      <w:pPr>
        <w:pStyle w:val="2"/>
        <w:shd w:val="clear" w:fill="1F4E79"/>
        <w:spacing w:before="360" w:after="120"/>
        <w:ind w:left="120" w:right="120"/>
      </w:pPr>
      <w:r>
        <w:rPr>
          <w:rFonts w:ascii="Arial" w:hAnsi="Arial" w:eastAsia="Arial" w:cs="Arial"/>
          <w:b/>
          <w:bCs/>
          <w:color w:val="FFFFFF"/>
          <w:sz w:val="28"/>
          <w:szCs w:val="28"/>
        </w:rPr>
        <w:t>5.  AI and GenAI Usage</w:t>
      </w:r>
    </w:p>
    <w:p w14:paraId="2DFA0B79">
      <w:pPr>
        <w:spacing w:before="0" w:after="80"/>
      </w:pPr>
    </w:p>
    <w:p w14:paraId="05BAD527">
      <w:pPr>
        <w:spacing w:before="60" w:after="100"/>
        <w:jc w:val="both"/>
      </w:pPr>
      <w:r>
        <w:rPr>
          <w:rFonts w:ascii="Arial" w:hAnsi="Arial" w:eastAsia="Arial" w:cs="Arial"/>
          <w:color w:val="1A1A1A"/>
          <w:sz w:val="22"/>
          <w:szCs w:val="22"/>
        </w:rPr>
        <w:t>GenAI tools were used at specific stages of this analysis to accelerate data exploration and prompt structured thinking about treatment strategies. All AI-generated outputs were reviewed, verified against the raw data, and refined with domain judgement before inclusion in this report. The following table documents the prompts used and the outcomes obtained.</w:t>
      </w:r>
    </w:p>
    <w:p w14:paraId="5F961595">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000"/>
        <w:gridCol w:w="4760"/>
      </w:tblGrid>
      <w:tr w14:paraId="2622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2D267160">
            <w:pPr>
              <w:jc w:val="center"/>
            </w:pPr>
            <w:r>
              <w:rPr>
                <w:rFonts w:ascii="Arial" w:hAnsi="Arial" w:eastAsia="Arial" w:cs="Arial"/>
                <w:b/>
                <w:bCs/>
                <w:color w:val="FFFFFF"/>
                <w:sz w:val="20"/>
                <w:szCs w:val="20"/>
              </w:rPr>
              <w:t>EDA Stage</w:t>
            </w:r>
          </w:p>
        </w:tc>
        <w:tc>
          <w:tcPr>
            <w:tcW w:w="300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62A66885">
            <w:pPr>
              <w:jc w:val="center"/>
            </w:pPr>
            <w:r>
              <w:rPr>
                <w:rFonts w:ascii="Arial" w:hAnsi="Arial" w:eastAsia="Arial" w:cs="Arial"/>
                <w:b/>
                <w:bCs/>
                <w:color w:val="FFFFFF"/>
                <w:sz w:val="20"/>
                <w:szCs w:val="20"/>
              </w:rPr>
              <w:t>Prompt Used</w:t>
            </w:r>
          </w:p>
        </w:tc>
        <w:tc>
          <w:tcPr>
            <w:tcW w:w="4760" w:type="dxa"/>
            <w:tcBorders>
              <w:top w:val="single" w:color="BBBBBB" w:sz="0" w:space="0"/>
              <w:left w:val="single" w:color="BBBBBB" w:sz="0" w:space="0"/>
              <w:bottom w:val="single" w:color="BBBBBB" w:sz="0" w:space="0"/>
              <w:right w:val="single" w:color="BBBBBB" w:sz="0" w:space="0"/>
            </w:tcBorders>
            <w:shd w:val="clear" w:color="auto" w:fill="2E75B6"/>
            <w:tcMar>
              <w:top w:w="80" w:type="dxa"/>
              <w:left w:w="140" w:type="dxa"/>
              <w:bottom w:w="80" w:type="dxa"/>
              <w:right w:w="140" w:type="dxa"/>
            </w:tcMar>
            <w:vAlign w:val="center"/>
          </w:tcPr>
          <w:p w14:paraId="09B7C133">
            <w:pPr>
              <w:jc w:val="center"/>
            </w:pPr>
            <w:r>
              <w:rPr>
                <w:rFonts w:ascii="Arial" w:hAnsi="Arial" w:eastAsia="Arial" w:cs="Arial"/>
                <w:b/>
                <w:bCs/>
                <w:color w:val="FFFFFF"/>
                <w:sz w:val="20"/>
                <w:szCs w:val="20"/>
              </w:rPr>
              <w:t>AI Output / Contribution</w:t>
            </w:r>
          </w:p>
        </w:tc>
      </w:tr>
      <w:tr w14:paraId="3B35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22EBA61">
            <w:pPr>
              <w:jc w:val="left"/>
            </w:pPr>
            <w:r>
              <w:rPr>
                <w:rFonts w:ascii="Arial" w:hAnsi="Arial" w:eastAsia="Arial" w:cs="Arial"/>
                <w:color w:val="1A1A1A"/>
                <w:sz w:val="20"/>
                <w:szCs w:val="20"/>
              </w:rPr>
              <w:t>Dataset summarisation</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951E663">
            <w:pPr>
              <w:jc w:val="center"/>
            </w:pPr>
            <w:r>
              <w:rPr>
                <w:rFonts w:ascii="Arial" w:hAnsi="Arial" w:eastAsia="Arial" w:cs="Arial"/>
                <w:color w:val="1A1A1A"/>
                <w:sz w:val="20"/>
                <w:szCs w:val="20"/>
              </w:rPr>
              <w:t>Summarise key patterns, outliers, and missing values in this dataset. Highlight any fields that might present problems for delinquency modelling.</w:t>
            </w:r>
          </w:p>
        </w:tc>
        <w:tc>
          <w:tcPr>
            <w:tcW w:w="4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EF9D36A">
            <w:pPr>
              <w:jc w:val="center"/>
            </w:pPr>
            <w:r>
              <w:rPr>
                <w:rFonts w:ascii="Arial" w:hAnsi="Arial" w:eastAsia="Arial" w:cs="Arial"/>
                <w:color w:val="1A1A1A"/>
                <w:sz w:val="20"/>
                <w:szCs w:val="20"/>
              </w:rPr>
              <w:t>Flagged Income and Loan_Balance as primary missing value concerns; identified Employment_Status inconsistency as a data quality issue requiring standardisation.</w:t>
            </w:r>
          </w:p>
        </w:tc>
      </w:tr>
      <w:tr w14:paraId="570A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163C0CE8">
            <w:pPr>
              <w:jc w:val="left"/>
            </w:pPr>
            <w:r>
              <w:rPr>
                <w:rFonts w:ascii="Arial" w:hAnsi="Arial" w:eastAsia="Arial" w:cs="Arial"/>
                <w:color w:val="1A1A1A"/>
                <w:sz w:val="20"/>
                <w:szCs w:val="20"/>
              </w:rPr>
              <w:t>Variable prioritisation</w:t>
            </w:r>
          </w:p>
        </w:tc>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68806500">
            <w:pPr>
              <w:jc w:val="center"/>
            </w:pPr>
            <w:r>
              <w:rPr>
                <w:rFonts w:ascii="Arial" w:hAnsi="Arial" w:eastAsia="Arial" w:cs="Arial"/>
                <w:color w:val="1A1A1A"/>
                <w:sz w:val="20"/>
                <w:szCs w:val="20"/>
              </w:rPr>
              <w:t>Identify the top variables most likely to predict delinquency in a credit risk dataset covering demographics, payment history, and credit behaviour.</w:t>
            </w:r>
          </w:p>
        </w:tc>
        <w:tc>
          <w:tcPr>
            <w:tcW w:w="47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47054197">
            <w:pPr>
              <w:jc w:val="center"/>
            </w:pPr>
            <w:r>
              <w:rPr>
                <w:rFonts w:ascii="Arial" w:hAnsi="Arial" w:eastAsia="Arial" w:cs="Arial"/>
                <w:color w:val="1A1A1A"/>
                <w:sz w:val="20"/>
                <w:szCs w:val="20"/>
              </w:rPr>
              <w:t>Surfaced missed payments, credit utilisation, DTI ratio, and employment status as likely primary predictors; noted credit score as potentially lagged.</w:t>
            </w:r>
          </w:p>
        </w:tc>
      </w:tr>
      <w:tr w14:paraId="5178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420D690E">
            <w:pPr>
              <w:jc w:val="left"/>
            </w:pPr>
            <w:r>
              <w:rPr>
                <w:rFonts w:ascii="Arial" w:hAnsi="Arial" w:eastAsia="Arial" w:cs="Arial"/>
                <w:color w:val="1A1A1A"/>
                <w:sz w:val="20"/>
                <w:szCs w:val="20"/>
              </w:rPr>
              <w:t>Missing data treatment</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21E8091E">
            <w:pPr>
              <w:jc w:val="center"/>
            </w:pPr>
            <w:r>
              <w:rPr>
                <w:rFonts w:ascii="Arial" w:hAnsi="Arial" w:eastAsia="Arial" w:cs="Arial"/>
                <w:color w:val="1A1A1A"/>
                <w:sz w:val="20"/>
                <w:szCs w:val="20"/>
              </w:rPr>
              <w:t>Suggest an imputation strategy for missing income values in a credit risk dataset, considering employment status variation and distributional properties.</w:t>
            </w:r>
          </w:p>
        </w:tc>
        <w:tc>
          <w:tcPr>
            <w:tcW w:w="4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52434BF9">
            <w:pPr>
              <w:jc w:val="center"/>
            </w:pPr>
            <w:r>
              <w:rPr>
                <w:rFonts w:ascii="Arial" w:hAnsi="Arial" w:eastAsia="Arial" w:cs="Arial"/>
                <w:color w:val="1A1A1A"/>
                <w:sz w:val="20"/>
                <w:szCs w:val="20"/>
              </w:rPr>
              <w:t>Recommended stratified median imputation by employment category; confirmed median over mean given income distribution characteristics.</w:t>
            </w:r>
          </w:p>
        </w:tc>
      </w:tr>
      <w:tr w14:paraId="1249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419715C5">
            <w:pPr>
              <w:jc w:val="left"/>
            </w:pPr>
            <w:r>
              <w:rPr>
                <w:rFonts w:ascii="Arial" w:hAnsi="Arial" w:eastAsia="Arial" w:cs="Arial"/>
                <w:color w:val="1A1A1A"/>
                <w:sz w:val="20"/>
                <w:szCs w:val="20"/>
              </w:rPr>
              <w:t>Synthetic data generation</w:t>
            </w:r>
          </w:p>
        </w:tc>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7282A8E8">
            <w:pPr>
              <w:jc w:val="center"/>
            </w:pPr>
            <w:r>
              <w:rPr>
                <w:rFonts w:ascii="Arial" w:hAnsi="Arial" w:eastAsia="Arial" w:cs="Arial"/>
                <w:color w:val="1A1A1A"/>
                <w:sz w:val="20"/>
                <w:szCs w:val="20"/>
              </w:rPr>
              <w:t>Generate realistic synthetic income values for missing entries using normal distribution assumptions, preserving employment-based distributional patterns.</w:t>
            </w:r>
          </w:p>
        </w:tc>
        <w:tc>
          <w:tcPr>
            <w:tcW w:w="47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40" w:type="dxa"/>
              <w:bottom w:w="80" w:type="dxa"/>
              <w:right w:w="140" w:type="dxa"/>
            </w:tcMar>
            <w:vAlign w:val="center"/>
          </w:tcPr>
          <w:p w14:paraId="2926AF0C">
            <w:pPr>
              <w:jc w:val="center"/>
            </w:pPr>
            <w:r>
              <w:rPr>
                <w:rFonts w:ascii="Arial" w:hAnsi="Arial" w:eastAsia="Arial" w:cs="Arial"/>
                <w:color w:val="1A1A1A"/>
                <w:sz w:val="20"/>
                <w:szCs w:val="20"/>
              </w:rPr>
              <w:t>Provided framework for MCAR-safe synthetic generation using employment-stratified normal distribution parameters.</w:t>
            </w:r>
          </w:p>
        </w:tc>
      </w:tr>
      <w:tr w14:paraId="25AD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72F325A1">
            <w:pPr>
              <w:jc w:val="left"/>
            </w:pPr>
            <w:r>
              <w:rPr>
                <w:rFonts w:ascii="Arial" w:hAnsi="Arial" w:eastAsia="Arial" w:cs="Arial"/>
                <w:color w:val="1A1A1A"/>
                <w:sz w:val="20"/>
                <w:szCs w:val="20"/>
              </w:rPr>
              <w:t>Risk factor analysis</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68ACC9B7">
            <w:pPr>
              <w:jc w:val="center"/>
            </w:pPr>
            <w:r>
              <w:rPr>
                <w:rFonts w:ascii="Arial" w:hAnsi="Arial" w:eastAsia="Arial" w:cs="Arial"/>
                <w:color w:val="1A1A1A"/>
                <w:sz w:val="20"/>
                <w:szCs w:val="20"/>
              </w:rPr>
              <w:t>What patterns in payment history and credit behaviour are most strongly associated with delinquency in consumer credit portfolios?</w:t>
            </w:r>
          </w:p>
        </w:tc>
        <w:tc>
          <w:tcPr>
            <w:tcW w:w="4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40" w:type="dxa"/>
              <w:bottom w:w="80" w:type="dxa"/>
              <w:right w:w="140" w:type="dxa"/>
            </w:tcMar>
            <w:vAlign w:val="center"/>
          </w:tcPr>
          <w:p w14:paraId="00C71473">
            <w:pPr>
              <w:jc w:val="center"/>
            </w:pPr>
            <w:r>
              <w:rPr>
                <w:rFonts w:ascii="Arial" w:hAnsi="Arial" w:eastAsia="Arial" w:cs="Arial"/>
                <w:color w:val="1A1A1A"/>
                <w:sz w:val="20"/>
                <w:szCs w:val="20"/>
              </w:rPr>
              <w:t>Confirmed DTI &gt;40%, unemployment, and consecutive missed payment months as high-signal risk features consistent with industry literature.</w:t>
            </w:r>
          </w:p>
        </w:tc>
      </w:tr>
    </w:tbl>
    <w:p w14:paraId="2DE864B5">
      <w:pPr>
        <w:spacing w:before="0" w:after="160"/>
      </w:pPr>
    </w:p>
    <w:p w14:paraId="2E266DBD">
      <w:pPr>
        <w:pStyle w:val="2"/>
        <w:shd w:val="clear" w:fill="1F4E79"/>
        <w:spacing w:before="360" w:after="120"/>
        <w:ind w:left="120" w:right="120"/>
      </w:pPr>
      <w:r>
        <w:rPr>
          <w:rFonts w:ascii="Arial" w:hAnsi="Arial" w:eastAsia="Arial" w:cs="Arial"/>
          <w:b/>
          <w:bCs/>
          <w:color w:val="FFFFFF"/>
          <w:sz w:val="28"/>
          <w:szCs w:val="28"/>
        </w:rPr>
        <w:t>6.  Conclusion and Next Steps</w:t>
      </w:r>
    </w:p>
    <w:p w14:paraId="7C424302">
      <w:pPr>
        <w:spacing w:before="0" w:after="80"/>
      </w:pPr>
    </w:p>
    <w:p w14:paraId="62B8F3C7">
      <w:pPr>
        <w:spacing w:before="60" w:after="100"/>
        <w:jc w:val="both"/>
      </w:pPr>
      <w:r>
        <w:rPr>
          <w:rFonts w:ascii="Arial" w:hAnsi="Arial" w:eastAsia="Arial" w:cs="Arial"/>
          <w:color w:val="1A1A1A"/>
          <w:sz w:val="22"/>
          <w:szCs w:val="22"/>
        </w:rPr>
        <w:t>The Geldium customer dataset provides a workable foundation for delinquency prediction modelling, though several data quality issues must be addressed before model development begins. The 16.0% delinquency rate — while indicating a meaningful business problem — also introduces class imbalance that will require handling during modelling. The most actionable risk indicators identified through this EDA are employment status (particularly unemployment), debt-to-income ratio above 40%, Business and Student card types, and the 46–60 age cohort.</w:t>
      </w:r>
    </w:p>
    <w:p w14:paraId="6F467CA0">
      <w:pPr>
        <w:spacing w:before="0" w:after="80"/>
      </w:pPr>
    </w:p>
    <w:p w14:paraId="55986CE2">
      <w:pPr>
        <w:spacing w:before="60" w:after="100"/>
        <w:jc w:val="both"/>
      </w:pPr>
      <w:r>
        <w:rPr>
          <w:rFonts w:ascii="Arial" w:hAnsi="Arial" w:eastAsia="Arial" w:cs="Arial"/>
          <w:color w:val="1A1A1A"/>
          <w:sz w:val="22"/>
          <w:szCs w:val="22"/>
        </w:rPr>
        <w:t>Credit score, despite being a standard risk metric, demonstrated an unexpected and non-linear relationship with delinquency in this dataset. This finding suggests that the model should not rely on credit score as a primary predictor without further investigation. Payment history data (Month 1–6), while structurally well-formed, requires contextual validation from Geldium to confirm whether the near-equal distribution across on-time, late, and missed categories reflects the broader customer base or a risk-stratified sample.</w:t>
      </w:r>
    </w:p>
    <w:p w14:paraId="4809A8E3">
      <w:pPr>
        <w:spacing w:before="0" w:after="80"/>
      </w:pPr>
    </w:p>
    <w:p w14:paraId="188A9EE7">
      <w:pPr>
        <w:pStyle w:val="3"/>
        <w:pBdr>
          <w:bottom w:val="single" w:color="2E75B6" w:sz="4" w:space="1"/>
        </w:pBdr>
        <w:spacing w:before="280" w:after="100"/>
      </w:pPr>
      <w:r>
        <w:rPr>
          <w:rFonts w:ascii="Arial" w:hAnsi="Arial" w:eastAsia="Arial" w:cs="Arial"/>
          <w:b/>
          <w:bCs/>
          <w:color w:val="1F4E79"/>
          <w:sz w:val="24"/>
          <w:szCs w:val="24"/>
        </w:rPr>
        <w:t>Recommended Next Steps</w:t>
      </w:r>
    </w:p>
    <w:p w14:paraId="28B85599">
      <w:pPr>
        <w:spacing w:before="0" w:after="80"/>
      </w:pPr>
    </w:p>
    <w:p w14:paraId="28D61F53">
      <w:pPr>
        <w:pStyle w:val="16"/>
        <w:numPr>
          <w:ilvl w:val="0"/>
          <w:numId w:val="1"/>
        </w:numPr>
        <w:spacing w:before="40" w:after="60"/>
      </w:pPr>
      <w:r>
        <w:rPr>
          <w:rFonts w:ascii="Arial" w:hAnsi="Arial" w:eastAsia="Arial" w:cs="Arial"/>
          <w:color w:val="1A1A1A"/>
          <w:sz w:val="22"/>
          <w:szCs w:val="22"/>
        </w:rPr>
        <w:t>Data cleaning (immediate): Standardise Employment_Status to four canonical categories (Employed, Unemployed, Self-Employed, Retired); cap Credit_Utilization values exceeding 1.0; and apply median imputation to Income, Credit_Score, and Loan_Balance as documented in Section 3.</w:t>
      </w:r>
    </w:p>
    <w:p w14:paraId="42A7E59D">
      <w:pPr>
        <w:pStyle w:val="16"/>
        <w:numPr>
          <w:ilvl w:val="0"/>
          <w:numId w:val="1"/>
        </w:numPr>
        <w:spacing w:before="40" w:after="60"/>
      </w:pPr>
      <w:r>
        <w:rPr>
          <w:rFonts w:ascii="Arial" w:hAnsi="Arial" w:eastAsia="Arial" w:cs="Arial"/>
          <w:color w:val="1A1A1A"/>
          <w:sz w:val="22"/>
          <w:szCs w:val="22"/>
        </w:rPr>
        <w:t>Synthetic data validation: After imputation, validate synthetic income values by comparing distributional properties (mean, SD, percentile spread) against the observed population. Confirm no leakage between synthetic and target variable values.</w:t>
      </w:r>
    </w:p>
    <w:p w14:paraId="019C640B">
      <w:pPr>
        <w:pStyle w:val="16"/>
        <w:numPr>
          <w:ilvl w:val="0"/>
          <w:numId w:val="1"/>
        </w:numPr>
        <w:spacing w:before="40" w:after="60"/>
      </w:pPr>
      <w:r>
        <w:rPr>
          <w:rFonts w:ascii="Arial" w:hAnsi="Arial" w:eastAsia="Arial" w:cs="Arial"/>
          <w:color w:val="1A1A1A"/>
          <w:sz w:val="22"/>
          <w:szCs w:val="22"/>
        </w:rPr>
        <w:t>Class imbalance handling (Task 2): Apply SMOTE or class-weighted model training to address the 84:16 target class split before fitting predictive models. Evaluate F1-score and precision-recall AUC rather than simple accuracy.</w:t>
      </w:r>
    </w:p>
    <w:p w14:paraId="7F5897EB">
      <w:pPr>
        <w:pStyle w:val="16"/>
        <w:numPr>
          <w:ilvl w:val="0"/>
          <w:numId w:val="1"/>
        </w:numPr>
        <w:spacing w:before="40" w:after="60"/>
      </w:pPr>
      <w:r>
        <w:rPr>
          <w:rFonts w:ascii="Arial" w:hAnsi="Arial" w:eastAsia="Arial" w:cs="Arial"/>
          <w:color w:val="1A1A1A"/>
          <w:sz w:val="22"/>
          <w:szCs w:val="22"/>
        </w:rPr>
        <w:t>Payment history clarification: Request confirmation from Geldium on whether the Month 1–6 data represents a general sample or a risk-enriched cohort. This is critical for probability calibration in the final model.</w:t>
      </w:r>
    </w:p>
    <w:p w14:paraId="51D5F6AB">
      <w:pPr>
        <w:pStyle w:val="16"/>
        <w:numPr>
          <w:ilvl w:val="0"/>
          <w:numId w:val="1"/>
        </w:numPr>
        <w:spacing w:before="40" w:after="60"/>
      </w:pPr>
      <w:r>
        <w:rPr>
          <w:rFonts w:ascii="Arial" w:hAnsi="Arial" w:eastAsia="Arial" w:cs="Arial"/>
          <w:color w:val="1A1A1A"/>
          <w:sz w:val="22"/>
          <w:szCs w:val="22"/>
        </w:rPr>
        <w:t>Feature engineering (Task 2): Derive composite risk features including a rolling missed-payment streak counter, a standardised payment risk score (0–12 scale), and a cleaned DTI percentage variable. These are expected to improve model signal over raw columns.</w:t>
      </w:r>
    </w:p>
    <w:p w14:paraId="0668A67B">
      <w:pPr>
        <w:pStyle w:val="16"/>
        <w:numPr>
          <w:ilvl w:val="0"/>
          <w:numId w:val="1"/>
        </w:numPr>
        <w:spacing w:before="40" w:after="60"/>
      </w:pPr>
      <w:r>
        <w:rPr>
          <w:rFonts w:ascii="Arial" w:hAnsi="Arial" w:eastAsia="Arial" w:cs="Arial"/>
          <w:color w:val="1A1A1A"/>
          <w:sz w:val="22"/>
          <w:szCs w:val="22"/>
        </w:rPr>
        <w:t>Stakeholder review: Share these findings with Geldium's Head of Collections and the wider Tata iQ Analytics team prior to beginning predictive model development, to validate risk indicator prioritisation and confirm business intervention thresholds.</w:t>
      </w:r>
    </w:p>
    <w:p w14:paraId="63465D12">
      <w:pPr>
        <w:spacing w:before="0" w:after="160"/>
      </w:pPr>
    </w:p>
    <w:p w14:paraId="2D86657F">
      <w:pPr>
        <w:pBdr>
          <w:top w:val="single" w:color="2E75B6" w:sz="4" w:space="1"/>
        </w:pBdr>
        <w:spacing w:before="200" w:after="0"/>
        <w:jc w:val="center"/>
      </w:pPr>
      <w:r>
        <w:rPr>
          <w:rFonts w:ascii="Arial" w:hAnsi="Arial" w:eastAsia="Arial" w:cs="Arial"/>
          <w:i/>
          <w:iCs/>
          <w:color w:val="888888"/>
          <w:sz w:val="16"/>
          <w:szCs w:val="16"/>
        </w:rPr>
        <w:t>Tata iQ — Geldium Finance EDA Report  |  Task 1  |  Confidential</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42E1718"/>
    <w:rsid w:val="1ECA6A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FFFFFF"/>
      <w:sz w:val="28"/>
      <w:szCs w:val="28"/>
    </w:rPr>
  </w:style>
  <w:style w:type="paragraph" w:styleId="3">
    <w:name w:val="heading 2"/>
    <w:next w:val="1"/>
    <w:qFormat/>
    <w:uiPriority w:val="0"/>
    <w:pPr>
      <w:spacing w:before="280" w:after="100"/>
      <w:outlineLvl w:val="1"/>
    </w:pPr>
    <w:rPr>
      <w:rFonts w:ascii="Arial" w:hAnsi="Arial" w:eastAsia="Arial" w:cs="Arial"/>
      <w:b/>
      <w:bCs/>
      <w:color w:val="1F4E79"/>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265</Words>
  <Characters>1668</Characters>
  <TotalTime>0</TotalTime>
  <ScaleCrop>false</ScaleCrop>
  <LinksUpToDate>false</LinksUpToDate>
  <CharactersWithSpaces>1919</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2026-04-09T04:06:00Z</dcterms:created>
  <dc:creator>Un-named</dc:creator>
  <cp:lastModifiedBy>DELL</cp:lastModifiedBy>
  <dcterms:modified xsi:type="dcterms:W3CDTF">2026-04-09T04:12:01Z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eyJoZGlkIjoiODRhYjkzYTVlMjEzNTZhYjFmMzI1MTczZjdhODI2YjYiLCJ1c2VySWQiOiI1NjcyNjcwMDUwNjAifQ==</vt:lpwstr>
  </property>
  <property fmtid="{D5CDD505-2E9C-101B-9397-08002B2CF9AE}" pid="3" name="KSOProductBuildVer">
    <vt:lpwstr>1033-12.1.0.25830</vt:lpwstr>
  </property>
  <property fmtid="{D5CDD505-2E9C-101B-9397-08002B2CF9AE}" pid="4" name="ICV">
    <vt:lpwstr>CFA3886C4BF04DD9AFD79BC064193D0D_12</vt:lpwstr>
  </property>
</Properties>
</file>