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424B0">
      <w:pPr>
        <w:spacing w:before="0" w:after="120"/>
        <w:jc w:val="center"/>
      </w:pPr>
      <w:r>
        <w:rPr>
          <w:rFonts w:ascii="Arial" w:hAnsi="Arial" w:eastAsia="Arial" w:cs="Arial"/>
          <w:b/>
          <w:bCs/>
          <w:sz w:val="32"/>
          <w:szCs w:val="32"/>
        </w:rPr>
        <w:t>Predictive Model Plan</w:t>
      </w:r>
    </w:p>
    <w:p w14:paraId="301DDFFA">
      <w:pPr>
        <w:spacing w:before="0" w:after="60"/>
        <w:jc w:val="center"/>
      </w:pPr>
      <w:r>
        <w:rPr>
          <w:rFonts w:ascii="Arial" w:hAnsi="Arial" w:eastAsia="Arial" w:cs="Arial"/>
          <w:i/>
          <w:iCs/>
          <w:color w:val="555555"/>
          <w:sz w:val="21"/>
          <w:szCs w:val="21"/>
        </w:rPr>
        <w:t>Geldium Finance — Delinquency Prediction Project  |  Task 2</w:t>
      </w:r>
    </w:p>
    <w:p w14:paraId="7C7E9D6A">
      <w:pPr>
        <w:spacing w:before="0" w:after="60"/>
        <w:jc w:val="center"/>
      </w:pPr>
      <w:r>
        <w:rPr>
          <w:rFonts w:ascii="Arial" w:hAnsi="Arial" w:eastAsia="Arial" w:cs="Arial"/>
          <w:color w:val="555555"/>
          <w:sz w:val="20"/>
          <w:szCs w:val="20"/>
        </w:rPr>
        <w:t>Prepared by: Kavya Balaji</w:t>
      </w:r>
      <w:r>
        <w:rPr>
          <w:rFonts w:hint="default" w:cs="Arial"/>
          <w:color w:val="555555"/>
          <w:sz w:val="20"/>
          <w:szCs w:val="20"/>
          <w:lang w:val="en-US"/>
        </w:rPr>
        <w:t xml:space="preserve"> </w:t>
      </w:r>
      <w:bookmarkStart w:id="0" w:name="_GoBack"/>
      <w:bookmarkEnd w:id="0"/>
      <w:r>
        <w:rPr>
          <w:rFonts w:hint="default" w:cs="Arial"/>
          <w:color w:val="555555"/>
          <w:sz w:val="20"/>
          <w:szCs w:val="20"/>
          <w:lang w:val="en-US"/>
        </w:rPr>
        <w:t>Singh</w:t>
      </w:r>
      <w:r>
        <w:rPr>
          <w:rFonts w:ascii="Arial" w:hAnsi="Arial" w:eastAsia="Arial" w:cs="Arial"/>
          <w:color w:val="555555"/>
          <w:sz w:val="20"/>
          <w:szCs w:val="20"/>
        </w:rPr>
        <w:t>, AI Transformation Consultant, Tata iQ</w:t>
      </w:r>
    </w:p>
    <w:p w14:paraId="14113C3C">
      <w:pPr>
        <w:pBdr>
          <w:bottom w:val="single" w:color="2E75B6" w:sz="6" w:space="1"/>
        </w:pBdr>
        <w:spacing w:before="60" w:after="240"/>
      </w:pPr>
    </w:p>
    <w:p w14:paraId="163EF550">
      <w:pPr>
        <w:pStyle w:val="2"/>
        <w:pBdr>
          <w:bottom w:val="single" w:color="2E75B6" w:sz="4" w:space="1"/>
        </w:pBdr>
        <w:spacing w:before="280" w:after="120"/>
      </w:pPr>
      <w:r>
        <w:rPr>
          <w:rFonts w:ascii="Arial" w:hAnsi="Arial" w:eastAsia="Arial" w:cs="Arial"/>
          <w:b/>
          <w:bCs/>
          <w:sz w:val="26"/>
          <w:szCs w:val="26"/>
        </w:rPr>
        <w:t>1. Model Logic</w:t>
      </w:r>
    </w:p>
    <w:p w14:paraId="6631C873">
      <w:pPr>
        <w:spacing w:before="0" w:after="100"/>
      </w:pPr>
    </w:p>
    <w:p w14:paraId="001045BA">
      <w:pPr>
        <w:pStyle w:val="3"/>
        <w:spacing w:before="200" w:after="80"/>
      </w:pPr>
      <w:r>
        <w:rPr>
          <w:rFonts w:ascii="Arial" w:hAnsi="Arial" w:eastAsia="Arial" w:cs="Arial"/>
          <w:b/>
          <w:bCs/>
          <w:color w:val="2E75B6"/>
          <w:sz w:val="23"/>
          <w:szCs w:val="23"/>
        </w:rPr>
        <w:t>1.1  Chosen Model: Gradient Boosted Decision Tree (XGBoost)</w:t>
      </w:r>
    </w:p>
    <w:p w14:paraId="4C352750">
      <w:pPr>
        <w:spacing w:before="0" w:after="100"/>
      </w:pPr>
    </w:p>
    <w:p w14:paraId="078F90D3">
      <w:pPr>
        <w:spacing w:before="80" w:after="100"/>
      </w:pPr>
      <w:r>
        <w:rPr>
          <w:rFonts w:ascii="Arial" w:hAnsi="Arial" w:eastAsia="Arial" w:cs="Arial"/>
          <w:sz w:val="22"/>
          <w:szCs w:val="22"/>
        </w:rPr>
        <w:t>The selected model is a Gradient Boosted Decision Tree, implemented via XGBoost. The model is trained to predict the binary target variable Delinquent_Account (1 = delinquent, 0 = not delinquent) using customer financial, behavioural, and demographic features. Gradient boosting builds an ensemble of shallow decision trees sequentially, where each tree corrects the errors of the previous one. The final output is a probability score (0–1) indicating delinquency risk, which is then thresholded to generate a class prediction.</w:t>
      </w:r>
    </w:p>
    <w:p w14:paraId="2B9E5069">
      <w:pPr>
        <w:spacing w:before="0" w:after="100"/>
      </w:pPr>
    </w:p>
    <w:p w14:paraId="2C227E80">
      <w:pPr>
        <w:pStyle w:val="3"/>
        <w:spacing w:before="200" w:after="80"/>
      </w:pPr>
      <w:r>
        <w:rPr>
          <w:rFonts w:ascii="Arial" w:hAnsi="Arial" w:eastAsia="Arial" w:cs="Arial"/>
          <w:b/>
          <w:bCs/>
          <w:color w:val="2E75B6"/>
          <w:sz w:val="23"/>
          <w:szCs w:val="23"/>
        </w:rPr>
        <w:t>1.2  Top 5 Input Features</w:t>
      </w:r>
    </w:p>
    <w:p w14:paraId="6EA2E932">
      <w:pPr>
        <w:spacing w:before="0" w:after="100"/>
      </w:pPr>
    </w:p>
    <w:tbl>
      <w:tblPr>
        <w:tblStyle w:val="9"/>
        <w:tblW w:w="9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86"/>
        <w:gridCol w:w="1682"/>
        <w:gridCol w:w="5592"/>
      </w:tblGrid>
      <w:tr w14:paraId="61908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0B25CF3">
            <w:pPr>
              <w:jc w:val="center"/>
            </w:pPr>
            <w:r>
              <w:rPr>
                <w:rFonts w:ascii="Arial" w:hAnsi="Arial" w:eastAsia="Arial" w:cs="Arial"/>
                <w:b/>
                <w:bCs/>
                <w:color w:val="FFFFFF"/>
                <w:sz w:val="19"/>
                <w:szCs w:val="19"/>
              </w:rPr>
              <w:t>Feature</w:t>
            </w:r>
          </w:p>
        </w:tc>
        <w:tc>
          <w:tcPr>
            <w:tcW w:w="17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D624190">
            <w:pPr>
              <w:jc w:val="center"/>
            </w:pPr>
            <w:r>
              <w:rPr>
                <w:rFonts w:ascii="Arial" w:hAnsi="Arial" w:eastAsia="Arial" w:cs="Arial"/>
                <w:b/>
                <w:bCs/>
                <w:color w:val="FFFFFF"/>
                <w:sz w:val="19"/>
                <w:szCs w:val="19"/>
              </w:rPr>
              <w:t>Type</w:t>
            </w:r>
          </w:p>
        </w:tc>
        <w:tc>
          <w:tcPr>
            <w:tcW w:w="57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E97AA41">
            <w:pPr>
              <w:jc w:val="center"/>
            </w:pPr>
            <w:r>
              <w:rPr>
                <w:rFonts w:ascii="Arial" w:hAnsi="Arial" w:eastAsia="Arial" w:cs="Arial"/>
                <w:b/>
                <w:bCs/>
                <w:color w:val="FFFFFF"/>
                <w:sz w:val="19"/>
                <w:szCs w:val="19"/>
              </w:rPr>
              <w:t>Why It Matters</w:t>
            </w:r>
          </w:p>
        </w:tc>
      </w:tr>
      <w:tr w14:paraId="6362D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28F64F">
            <w:pPr>
              <w:spacing w:before="40" w:after="40"/>
            </w:pPr>
            <w:r>
              <w:rPr>
                <w:rFonts w:ascii="Arial" w:hAnsi="Arial" w:eastAsia="Arial" w:cs="Arial"/>
                <w:sz w:val="20"/>
                <w:szCs w:val="20"/>
              </w:rPr>
              <w:t>Debt_to_Income_Ratio</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B11BC6">
            <w:pPr>
              <w:spacing w:before="40" w:after="40"/>
            </w:pPr>
            <w:r>
              <w:rPr>
                <w:rFonts w:ascii="Arial" w:hAnsi="Arial" w:eastAsia="Arial" w:cs="Arial"/>
                <w:sz w:val="20"/>
                <w:szCs w:val="20"/>
              </w:rPr>
              <w:t>Numerical</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E7A675">
            <w:pPr>
              <w:spacing w:before="40" w:after="40"/>
            </w:pPr>
            <w:r>
              <w:rPr>
                <w:rFonts w:ascii="Arial" w:hAnsi="Arial" w:eastAsia="Arial" w:cs="Arial"/>
                <w:sz w:val="20"/>
                <w:szCs w:val="20"/>
              </w:rPr>
              <w:t>Customers with DTI above 40% showed an 18.9% delinquency rate in EDA — one of the strongest segmentation signals in the dataset.</w:t>
            </w:r>
          </w:p>
        </w:tc>
      </w:tr>
      <w:tr w14:paraId="6D4C5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77A84A5">
            <w:pPr>
              <w:spacing w:before="40" w:after="40"/>
            </w:pPr>
            <w:r>
              <w:rPr>
                <w:rFonts w:ascii="Arial" w:hAnsi="Arial" w:eastAsia="Arial" w:cs="Arial"/>
                <w:sz w:val="20"/>
                <w:szCs w:val="20"/>
              </w:rPr>
              <w:t>Employment_Status</w:t>
            </w:r>
          </w:p>
        </w:tc>
        <w:tc>
          <w:tcPr>
            <w:tcW w:w="17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6EEB1AD">
            <w:pPr>
              <w:spacing w:before="40" w:after="40"/>
            </w:pPr>
            <w:r>
              <w:rPr>
                <w:rFonts w:ascii="Arial" w:hAnsi="Arial" w:eastAsia="Arial" w:cs="Arial"/>
                <w:sz w:val="20"/>
                <w:szCs w:val="20"/>
              </w:rPr>
              <w:t>Categorical (encoded)</w:t>
            </w:r>
          </w:p>
        </w:tc>
        <w:tc>
          <w:tcPr>
            <w:tcW w:w="57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B5F346A">
            <w:pPr>
              <w:spacing w:before="40" w:after="40"/>
            </w:pPr>
            <w:r>
              <w:rPr>
                <w:rFonts w:ascii="Arial" w:hAnsi="Arial" w:eastAsia="Arial" w:cs="Arial"/>
                <w:sz w:val="20"/>
                <w:szCs w:val="20"/>
              </w:rPr>
              <w:t>Unemployed customers had the highest delinquency rate (19.4%). After standardisation, this becomes a clean binary or multi-class feature.</w:t>
            </w:r>
          </w:p>
        </w:tc>
      </w:tr>
      <w:tr w14:paraId="44A4B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3BBFA4">
            <w:pPr>
              <w:spacing w:before="40" w:after="40"/>
            </w:pPr>
            <w:r>
              <w:rPr>
                <w:rFonts w:ascii="Arial" w:hAnsi="Arial" w:eastAsia="Arial" w:cs="Arial"/>
                <w:sz w:val="20"/>
                <w:szCs w:val="20"/>
              </w:rPr>
              <w:t>Missed_Payments</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ACBD1F">
            <w:pPr>
              <w:spacing w:before="40" w:after="40"/>
            </w:pPr>
            <w:r>
              <w:rPr>
                <w:rFonts w:ascii="Arial" w:hAnsi="Arial" w:eastAsia="Arial" w:cs="Arial"/>
                <w:sz w:val="20"/>
                <w:szCs w:val="20"/>
              </w:rPr>
              <w:t>Numerical</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2678F6">
            <w:pPr>
              <w:spacing w:before="40" w:after="40"/>
            </w:pPr>
            <w:r>
              <w:rPr>
                <w:rFonts w:ascii="Arial" w:hAnsi="Arial" w:eastAsia="Arial" w:cs="Arial"/>
                <w:sz w:val="20"/>
                <w:szCs w:val="20"/>
              </w:rPr>
              <w:t>Direct behavioural signal. Number of missed payments in the past 12 months is a strong lead indicator of continued delinquency.</w:t>
            </w:r>
          </w:p>
        </w:tc>
      </w:tr>
      <w:tr w14:paraId="37E1D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0BDC50F">
            <w:pPr>
              <w:spacing w:before="40" w:after="40"/>
            </w:pPr>
            <w:r>
              <w:rPr>
                <w:rFonts w:ascii="Arial" w:hAnsi="Arial" w:eastAsia="Arial" w:cs="Arial"/>
                <w:sz w:val="20"/>
                <w:szCs w:val="20"/>
              </w:rPr>
              <w:t>Month_1 to Month_6 (Payment History)</w:t>
            </w:r>
          </w:p>
        </w:tc>
        <w:tc>
          <w:tcPr>
            <w:tcW w:w="17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07F5900">
            <w:pPr>
              <w:spacing w:before="40" w:after="40"/>
            </w:pPr>
            <w:r>
              <w:rPr>
                <w:rFonts w:ascii="Arial" w:hAnsi="Arial" w:eastAsia="Arial" w:cs="Arial"/>
                <w:sz w:val="20"/>
                <w:szCs w:val="20"/>
              </w:rPr>
              <w:t>Categorical (encoded)</w:t>
            </w:r>
          </w:p>
        </w:tc>
        <w:tc>
          <w:tcPr>
            <w:tcW w:w="57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312CC72">
            <w:pPr>
              <w:spacing w:before="40" w:after="40"/>
            </w:pPr>
            <w:r>
              <w:rPr>
                <w:rFonts w:ascii="Arial" w:hAnsi="Arial" w:eastAsia="Arial" w:cs="Arial"/>
                <w:sz w:val="20"/>
                <w:szCs w:val="20"/>
              </w:rPr>
              <w:t>Six months of on-time/late/missed payment records capture payment trajectory. Encoded as numeric (0/1/2) and aggregated into a rolling risk score.</w:t>
            </w:r>
          </w:p>
        </w:tc>
      </w:tr>
      <w:tr w14:paraId="0082F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131635">
            <w:pPr>
              <w:spacing w:before="40" w:after="40"/>
            </w:pPr>
            <w:r>
              <w:rPr>
                <w:rFonts w:ascii="Arial" w:hAnsi="Arial" w:eastAsia="Arial" w:cs="Arial"/>
                <w:sz w:val="20"/>
                <w:szCs w:val="20"/>
              </w:rPr>
              <w:t>Credit_Utilization</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8EE42F">
            <w:pPr>
              <w:spacing w:before="40" w:after="40"/>
            </w:pPr>
            <w:r>
              <w:rPr>
                <w:rFonts w:ascii="Arial" w:hAnsi="Arial" w:eastAsia="Arial" w:cs="Arial"/>
                <w:sz w:val="20"/>
                <w:szCs w:val="20"/>
              </w:rPr>
              <w:t>Numerical</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635234">
            <w:pPr>
              <w:spacing w:before="40" w:after="40"/>
            </w:pPr>
            <w:r>
              <w:rPr>
                <w:rFonts w:ascii="Arial" w:hAnsi="Arial" w:eastAsia="Arial" w:cs="Arial"/>
                <w:sz w:val="20"/>
                <w:szCs w:val="20"/>
              </w:rPr>
              <w:t>Proportion of available credit in use. High utilisation signals financial stress; values will be capped at 1.0 after EDA-identified corrections.</w:t>
            </w:r>
          </w:p>
        </w:tc>
      </w:tr>
    </w:tbl>
    <w:p w14:paraId="76282875">
      <w:pPr>
        <w:spacing w:before="0" w:after="100"/>
      </w:pPr>
    </w:p>
    <w:p w14:paraId="2D703A21">
      <w:pPr>
        <w:pStyle w:val="3"/>
        <w:spacing w:before="200" w:after="80"/>
      </w:pPr>
      <w:r>
        <w:rPr>
          <w:rFonts w:ascii="Arial" w:hAnsi="Arial" w:eastAsia="Arial" w:cs="Arial"/>
          <w:b/>
          <w:bCs/>
          <w:color w:val="2E75B6"/>
          <w:sz w:val="23"/>
          <w:szCs w:val="23"/>
        </w:rPr>
        <w:t>1.3  Model Pipeline (Step-by-Step Logic)</w:t>
      </w:r>
    </w:p>
    <w:p w14:paraId="7FA9DECE">
      <w:pPr>
        <w:spacing w:before="0" w:after="100"/>
      </w:pPr>
    </w:p>
    <w:p w14:paraId="08C1F4D1">
      <w:pPr>
        <w:pStyle w:val="16"/>
        <w:numPr>
          <w:ilvl w:val="0"/>
          <w:numId w:val="1"/>
        </w:numPr>
        <w:spacing w:before="40" w:after="60"/>
      </w:pPr>
      <w:r>
        <w:rPr>
          <w:rFonts w:ascii="Arial" w:hAnsi="Arial" w:eastAsia="Arial" w:cs="Arial"/>
          <w:b/>
          <w:bCs/>
          <w:sz w:val="22"/>
          <w:szCs w:val="22"/>
        </w:rPr>
        <w:t xml:space="preserve">Data preparation: </w:t>
      </w:r>
      <w:r>
        <w:rPr>
          <w:rFonts w:ascii="Arial" w:hAnsi="Arial" w:eastAsia="Arial" w:cs="Arial"/>
          <w:sz w:val="22"/>
          <w:szCs w:val="22"/>
        </w:rPr>
        <w:t>Standardise Employment_Status; cap Credit_Utilization at 1.0; apply median imputation to Income, Loan_Balance, and Credit_Score as documented in Task 1.</w:t>
      </w:r>
    </w:p>
    <w:p w14:paraId="68900BA9">
      <w:pPr>
        <w:pStyle w:val="16"/>
        <w:numPr>
          <w:ilvl w:val="0"/>
          <w:numId w:val="1"/>
        </w:numPr>
        <w:spacing w:before="40" w:after="60"/>
      </w:pPr>
      <w:r>
        <w:rPr>
          <w:rFonts w:ascii="Arial" w:hAnsi="Arial" w:eastAsia="Arial" w:cs="Arial"/>
          <w:b/>
          <w:bCs/>
          <w:sz w:val="22"/>
          <w:szCs w:val="22"/>
        </w:rPr>
        <w:t xml:space="preserve">Feature engineering: </w:t>
      </w:r>
      <w:r>
        <w:rPr>
          <w:rFonts w:ascii="Arial" w:hAnsi="Arial" w:eastAsia="Arial" w:cs="Arial"/>
          <w:sz w:val="22"/>
          <w:szCs w:val="22"/>
        </w:rPr>
        <w:t>Encode categorical variables (Employment_Status, Credit_Card_Type, Month_1–6) using ordinal or one-hot encoding. Derive a Payment_Risk_Score by summing six monthly values (0–12 scale).</w:t>
      </w:r>
    </w:p>
    <w:p w14:paraId="0356FDE6">
      <w:pPr>
        <w:pStyle w:val="16"/>
        <w:numPr>
          <w:ilvl w:val="0"/>
          <w:numId w:val="1"/>
        </w:numPr>
        <w:spacing w:before="40" w:after="60"/>
      </w:pPr>
      <w:r>
        <w:rPr>
          <w:rFonts w:ascii="Arial" w:hAnsi="Arial" w:eastAsia="Arial" w:cs="Arial"/>
          <w:b/>
          <w:bCs/>
          <w:sz w:val="22"/>
          <w:szCs w:val="22"/>
        </w:rPr>
        <w:t xml:space="preserve">Class imbalance handling: </w:t>
      </w:r>
      <w:r>
        <w:rPr>
          <w:rFonts w:ascii="Arial" w:hAnsi="Arial" w:eastAsia="Arial" w:cs="Arial"/>
          <w:sz w:val="22"/>
          <w:szCs w:val="22"/>
        </w:rPr>
        <w:t>Apply SMOTE (Synthetic Minority Oversampling) to the training set to address the 84:16 class split. Alternatively, use XGBoost's built-in scale_pos_weight parameter.</w:t>
      </w:r>
    </w:p>
    <w:p w14:paraId="45BB4B58">
      <w:pPr>
        <w:pStyle w:val="16"/>
        <w:numPr>
          <w:ilvl w:val="0"/>
          <w:numId w:val="1"/>
        </w:numPr>
        <w:spacing w:before="40" w:after="60"/>
      </w:pPr>
      <w:r>
        <w:rPr>
          <w:rFonts w:ascii="Arial" w:hAnsi="Arial" w:eastAsia="Arial" w:cs="Arial"/>
          <w:b/>
          <w:bCs/>
          <w:sz w:val="22"/>
          <w:szCs w:val="22"/>
        </w:rPr>
        <w:t xml:space="preserve">Train/test split: </w:t>
      </w:r>
      <w:r>
        <w:rPr>
          <w:rFonts w:ascii="Arial" w:hAnsi="Arial" w:eastAsia="Arial" w:cs="Arial"/>
          <w:sz w:val="22"/>
          <w:szCs w:val="22"/>
        </w:rPr>
        <w:t>80% training, 20% holdout test set. Stratified split to preserve the 16% delinquency rate in both sets.</w:t>
      </w:r>
    </w:p>
    <w:p w14:paraId="2F66E38C">
      <w:pPr>
        <w:pStyle w:val="16"/>
        <w:numPr>
          <w:ilvl w:val="0"/>
          <w:numId w:val="1"/>
        </w:numPr>
        <w:spacing w:before="40" w:after="60"/>
      </w:pPr>
      <w:r>
        <w:rPr>
          <w:rFonts w:ascii="Arial" w:hAnsi="Arial" w:eastAsia="Arial" w:cs="Arial"/>
          <w:b/>
          <w:bCs/>
          <w:sz w:val="22"/>
          <w:szCs w:val="22"/>
        </w:rPr>
        <w:t xml:space="preserve">Model training: </w:t>
      </w:r>
      <w:r>
        <w:rPr>
          <w:rFonts w:ascii="Arial" w:hAnsi="Arial" w:eastAsia="Arial" w:cs="Arial"/>
          <w:sz w:val="22"/>
          <w:szCs w:val="22"/>
        </w:rPr>
        <w:t>Fit XGBoost classifier on training data. Tune key hyperparameters (max_depth, learning_rate, n_estimators) using 5-fold cross-validation.</w:t>
      </w:r>
    </w:p>
    <w:p w14:paraId="74DFB06E">
      <w:pPr>
        <w:pStyle w:val="16"/>
        <w:numPr>
          <w:ilvl w:val="0"/>
          <w:numId w:val="1"/>
        </w:numPr>
        <w:spacing w:before="40" w:after="60"/>
      </w:pPr>
      <w:r>
        <w:rPr>
          <w:rFonts w:ascii="Arial" w:hAnsi="Arial" w:eastAsia="Arial" w:cs="Arial"/>
          <w:b/>
          <w:bCs/>
          <w:sz w:val="22"/>
          <w:szCs w:val="22"/>
        </w:rPr>
        <w:t xml:space="preserve">Prediction output: </w:t>
      </w:r>
      <w:r>
        <w:rPr>
          <w:rFonts w:ascii="Arial" w:hAnsi="Arial" w:eastAsia="Arial" w:cs="Arial"/>
          <w:sz w:val="22"/>
          <w:szCs w:val="22"/>
        </w:rPr>
        <w:t>Model outputs a probability score per customer. Scores above the chosen threshold (default 0.5, adjustable) are classified as delinquency risk = High.</w:t>
      </w:r>
    </w:p>
    <w:p w14:paraId="0CD2D743">
      <w:pPr>
        <w:pStyle w:val="16"/>
        <w:numPr>
          <w:ilvl w:val="0"/>
          <w:numId w:val="1"/>
        </w:numPr>
        <w:spacing w:before="40" w:after="60"/>
      </w:pPr>
      <w:r>
        <w:rPr>
          <w:rFonts w:ascii="Arial" w:hAnsi="Arial" w:eastAsia="Arial" w:cs="Arial"/>
          <w:b/>
          <w:bCs/>
          <w:sz w:val="22"/>
          <w:szCs w:val="22"/>
        </w:rPr>
        <w:t xml:space="preserve">Explainability: </w:t>
      </w:r>
      <w:r>
        <w:rPr>
          <w:rFonts w:ascii="Arial" w:hAnsi="Arial" w:eastAsia="Arial" w:cs="Arial"/>
          <w:sz w:val="22"/>
          <w:szCs w:val="22"/>
        </w:rPr>
        <w:t>Use SHAP (SHapley Additive exPlanations) values to identify which features drove each individual prediction, supporting transparency requirements.</w:t>
      </w:r>
    </w:p>
    <w:p w14:paraId="1AD8E8AF">
      <w:pPr>
        <w:spacing w:before="0" w:after="100"/>
      </w:pPr>
    </w:p>
    <w:p w14:paraId="3C4EFCB7">
      <w:pPr>
        <w:pStyle w:val="3"/>
        <w:spacing w:before="200" w:after="80"/>
      </w:pPr>
      <w:r>
        <w:rPr>
          <w:rFonts w:ascii="Arial" w:hAnsi="Arial" w:eastAsia="Arial" w:cs="Arial"/>
          <w:b/>
          <w:bCs/>
          <w:color w:val="2E75B6"/>
          <w:sz w:val="23"/>
          <w:szCs w:val="23"/>
        </w:rPr>
        <w:t>1.4  Pseudocode Summary</w:t>
      </w:r>
    </w:p>
    <w:p w14:paraId="55842237">
      <w:pPr>
        <w:spacing w:before="0" w:after="100"/>
      </w:pPr>
    </w:p>
    <w:p w14:paraId="3831FAB2">
      <w:pPr>
        <w:spacing w:before="40" w:after="20"/>
      </w:pPr>
      <w:r>
        <w:rPr>
          <w:rFonts w:ascii="Courier New" w:hAnsi="Courier New" w:eastAsia="Courier New" w:cs="Courier New"/>
          <w:color w:val="444444"/>
          <w:sz w:val="20"/>
          <w:szCs w:val="20"/>
        </w:rPr>
        <w:t># 1. Load and clean data</w:t>
      </w:r>
    </w:p>
    <w:p w14:paraId="4D64D516">
      <w:pPr>
        <w:spacing w:before="0" w:after="20"/>
      </w:pPr>
      <w:r>
        <w:rPr>
          <w:rFonts w:ascii="Courier New" w:hAnsi="Courier New" w:eastAsia="Courier New" w:cs="Courier New"/>
          <w:color w:val="444444"/>
          <w:sz w:val="20"/>
          <w:szCs w:val="20"/>
        </w:rPr>
        <w:t>df = load_dataset('geldium_customers.xlsx')</w:t>
      </w:r>
    </w:p>
    <w:p w14:paraId="20D071AE">
      <w:pPr>
        <w:spacing w:before="0" w:after="20"/>
      </w:pPr>
      <w:r>
        <w:rPr>
          <w:rFonts w:ascii="Courier New" w:hAnsi="Courier New" w:eastAsia="Courier New" w:cs="Courier New"/>
          <w:color w:val="444444"/>
          <w:sz w:val="20"/>
          <w:szCs w:val="20"/>
        </w:rPr>
        <w:t>df = standardise_employment(df)</w:t>
      </w:r>
    </w:p>
    <w:p w14:paraId="51D51E7F">
      <w:pPr>
        <w:spacing w:before="0" w:after="20"/>
      </w:pPr>
      <w:r>
        <w:rPr>
          <w:rFonts w:ascii="Courier New" w:hAnsi="Courier New" w:eastAsia="Courier New" w:cs="Courier New"/>
          <w:color w:val="444444"/>
          <w:sz w:val="20"/>
          <w:szCs w:val="20"/>
        </w:rPr>
        <w:t>df = impute_missing(df, method='median')</w:t>
      </w:r>
    </w:p>
    <w:p w14:paraId="45C68592">
      <w:pPr>
        <w:spacing w:before="0" w:after="40"/>
      </w:pPr>
      <w:r>
        <w:rPr>
          <w:rFonts w:ascii="Courier New" w:hAnsi="Courier New" w:eastAsia="Courier New" w:cs="Courier New"/>
          <w:color w:val="444444"/>
          <w:sz w:val="20"/>
          <w:szCs w:val="20"/>
        </w:rPr>
        <w:t>df['Credit_Utilization'] = df['Credit_Utilization'].clip(upper=1.0)</w:t>
      </w:r>
    </w:p>
    <w:p w14:paraId="7D49BE5A">
      <w:pPr>
        <w:spacing w:before="0" w:after="20"/>
      </w:pPr>
      <w:r>
        <w:rPr>
          <w:rFonts w:ascii="Courier New" w:hAnsi="Courier New" w:eastAsia="Courier New" w:cs="Courier New"/>
          <w:color w:val="444444"/>
          <w:sz w:val="20"/>
          <w:szCs w:val="20"/>
        </w:rPr>
        <w:t># 2. Feature engineering</w:t>
      </w:r>
    </w:p>
    <w:p w14:paraId="304F1395">
      <w:pPr>
        <w:spacing w:before="0" w:after="20"/>
      </w:pPr>
      <w:r>
        <w:rPr>
          <w:rFonts w:ascii="Courier New" w:hAnsi="Courier New" w:eastAsia="Courier New" w:cs="Courier New"/>
          <w:color w:val="444444"/>
          <w:sz w:val="20"/>
          <w:szCs w:val="20"/>
        </w:rPr>
        <w:t>df['Payment_Risk_Score'] = df[month_cols].map(score_map).sum(axis=1)</w:t>
      </w:r>
    </w:p>
    <w:p w14:paraId="4FC829A9">
      <w:pPr>
        <w:spacing w:before="0" w:after="40"/>
      </w:pPr>
      <w:r>
        <w:rPr>
          <w:rFonts w:ascii="Courier New" w:hAnsi="Courier New" w:eastAsia="Courier New" w:cs="Courier New"/>
          <w:color w:val="444444"/>
          <w:sz w:val="20"/>
          <w:szCs w:val="20"/>
        </w:rPr>
        <w:t>df = encode_categoricals(df)</w:t>
      </w:r>
    </w:p>
    <w:p w14:paraId="4B56846F">
      <w:pPr>
        <w:spacing w:before="0" w:after="20"/>
      </w:pPr>
      <w:r>
        <w:rPr>
          <w:rFonts w:ascii="Courier New" w:hAnsi="Courier New" w:eastAsia="Courier New" w:cs="Courier New"/>
          <w:color w:val="444444"/>
          <w:sz w:val="20"/>
          <w:szCs w:val="20"/>
        </w:rPr>
        <w:t># 3. Split and balance</w:t>
      </w:r>
    </w:p>
    <w:p w14:paraId="3FC69D3D">
      <w:pPr>
        <w:spacing w:before="0" w:after="20"/>
      </w:pPr>
      <w:r>
        <w:rPr>
          <w:rFonts w:ascii="Courier New" w:hAnsi="Courier New" w:eastAsia="Courier New" w:cs="Courier New"/>
          <w:color w:val="444444"/>
          <w:sz w:val="20"/>
          <w:szCs w:val="20"/>
        </w:rPr>
        <w:t>X_train, X_test, y_train, y_test = train_test_split(X, y, stratify=y, test_size=0.2)</w:t>
      </w:r>
    </w:p>
    <w:p w14:paraId="11C527C1">
      <w:pPr>
        <w:spacing w:before="0" w:after="40"/>
      </w:pPr>
      <w:r>
        <w:rPr>
          <w:rFonts w:ascii="Courier New" w:hAnsi="Courier New" w:eastAsia="Courier New" w:cs="Courier New"/>
          <w:color w:val="444444"/>
          <w:sz w:val="20"/>
          <w:szCs w:val="20"/>
        </w:rPr>
        <w:t>X_train_res, y_train_res = SMOTE().fit_resample(X_train, y_train)</w:t>
      </w:r>
    </w:p>
    <w:p w14:paraId="14F5C62E">
      <w:pPr>
        <w:spacing w:before="0" w:after="20"/>
      </w:pPr>
      <w:r>
        <w:rPr>
          <w:rFonts w:ascii="Courier New" w:hAnsi="Courier New" w:eastAsia="Courier New" w:cs="Courier New"/>
          <w:color w:val="444444"/>
          <w:sz w:val="20"/>
          <w:szCs w:val="20"/>
        </w:rPr>
        <w:t># 4. Train and predict</w:t>
      </w:r>
    </w:p>
    <w:p w14:paraId="15F0B52A">
      <w:pPr>
        <w:spacing w:before="0" w:after="20"/>
      </w:pPr>
      <w:r>
        <w:rPr>
          <w:rFonts w:ascii="Courier New" w:hAnsi="Courier New" w:eastAsia="Courier New" w:cs="Courier New"/>
          <w:color w:val="444444"/>
          <w:sz w:val="20"/>
          <w:szCs w:val="20"/>
        </w:rPr>
        <w:t>model = XGBClassifier(max_depth=4, learning_rate=0.1, n_estimators=200)</w:t>
      </w:r>
    </w:p>
    <w:p w14:paraId="2D03FCFF">
      <w:pPr>
        <w:spacing w:before="0" w:after="20"/>
      </w:pPr>
      <w:r>
        <w:rPr>
          <w:rFonts w:ascii="Courier New" w:hAnsi="Courier New" w:eastAsia="Courier New" w:cs="Courier New"/>
          <w:color w:val="444444"/>
          <w:sz w:val="20"/>
          <w:szCs w:val="20"/>
        </w:rPr>
        <w:t>model.fit(X_train_res, y_train_res)</w:t>
      </w:r>
    </w:p>
    <w:p w14:paraId="7C99B92B">
      <w:pPr>
        <w:spacing w:before="0" w:after="20"/>
      </w:pPr>
      <w:r>
        <w:rPr>
          <w:rFonts w:ascii="Courier New" w:hAnsi="Courier New" w:eastAsia="Courier New" w:cs="Courier New"/>
          <w:color w:val="444444"/>
          <w:sz w:val="20"/>
          <w:szCs w:val="20"/>
        </w:rPr>
        <w:t>proba = model.predict_proba(X_test)[:, 1]  # delinquency probability</w:t>
      </w:r>
    </w:p>
    <w:p w14:paraId="0410C24B">
      <w:pPr>
        <w:spacing w:before="0" w:after="40"/>
      </w:pPr>
      <w:r>
        <w:rPr>
          <w:rFonts w:ascii="Courier New" w:hAnsi="Courier New" w:eastAsia="Courier New" w:cs="Courier New"/>
          <w:color w:val="444444"/>
          <w:sz w:val="20"/>
          <w:szCs w:val="20"/>
        </w:rPr>
        <w:t>predictions = (proba &gt;= 0.5).astype(int)</w:t>
      </w:r>
    </w:p>
    <w:p w14:paraId="4A883BF4">
      <w:pPr>
        <w:spacing w:before="0" w:after="20"/>
      </w:pPr>
      <w:r>
        <w:rPr>
          <w:rFonts w:ascii="Courier New" w:hAnsi="Courier New" w:eastAsia="Courier New" w:cs="Courier New"/>
          <w:color w:val="444444"/>
          <w:sz w:val="20"/>
          <w:szCs w:val="20"/>
        </w:rPr>
        <w:t># 5. Explain with SHAP</w:t>
      </w:r>
    </w:p>
    <w:p w14:paraId="55CFD0A3">
      <w:pPr>
        <w:spacing w:before="0" w:after="20"/>
      </w:pPr>
      <w:r>
        <w:rPr>
          <w:rFonts w:ascii="Courier New" w:hAnsi="Courier New" w:eastAsia="Courier New" w:cs="Courier New"/>
          <w:color w:val="444444"/>
          <w:sz w:val="20"/>
          <w:szCs w:val="20"/>
        </w:rPr>
        <w:t>shap_values = shap.TreeExplainer(model).shap_values(X_test)</w:t>
      </w:r>
    </w:p>
    <w:p w14:paraId="30F9C067">
      <w:pPr>
        <w:spacing w:before="0" w:after="60"/>
      </w:pPr>
      <w:r>
        <w:rPr>
          <w:rFonts w:ascii="Courier New" w:hAnsi="Courier New" w:eastAsia="Courier New" w:cs="Courier New"/>
          <w:color w:val="444444"/>
          <w:sz w:val="20"/>
          <w:szCs w:val="20"/>
        </w:rPr>
        <w:t>shap.summary_plot(shap_values, X_test)  # feature importance visualisation</w:t>
      </w:r>
    </w:p>
    <w:p w14:paraId="051CA80C">
      <w:pPr>
        <w:spacing w:before="0" w:after="100"/>
      </w:pPr>
    </w:p>
    <w:p w14:paraId="59C3D0F6">
      <w:pPr>
        <w:pStyle w:val="2"/>
        <w:pBdr>
          <w:bottom w:val="single" w:color="2E75B6" w:sz="4" w:space="1"/>
        </w:pBdr>
        <w:spacing w:before="280" w:after="120"/>
      </w:pPr>
      <w:r>
        <w:rPr>
          <w:rFonts w:ascii="Arial" w:hAnsi="Arial" w:eastAsia="Arial" w:cs="Arial"/>
          <w:b/>
          <w:bCs/>
          <w:sz w:val="26"/>
          <w:szCs w:val="26"/>
        </w:rPr>
        <w:t>2. Justification for Model Choice</w:t>
      </w:r>
    </w:p>
    <w:p w14:paraId="6F6C304E">
      <w:pPr>
        <w:spacing w:before="0" w:after="100"/>
      </w:pPr>
    </w:p>
    <w:p w14:paraId="0508A459">
      <w:pPr>
        <w:spacing w:before="80" w:after="100"/>
      </w:pPr>
      <w:r>
        <w:rPr>
          <w:rFonts w:ascii="Arial" w:hAnsi="Arial" w:eastAsia="Arial" w:cs="Arial"/>
          <w:sz w:val="22"/>
          <w:szCs w:val="22"/>
        </w:rPr>
        <w:t>XGBoost was selected over logistic regression and a basic decision tree because it offers the strongest balance of predictive performance and practical suitability for Geldium's context. Logistic regression, while easy to interpret, assumes linear relationships between features and the target — an assumption that does not hold well in credit risk data where interactions between DTI, employment status, and payment history are non-linear. A single decision tree is interpretable but prone to overfitting and typically underperforms on imbalanced datasets without extensive tuning.</w:t>
      </w:r>
    </w:p>
    <w:p w14:paraId="341648BF">
      <w:pPr>
        <w:spacing w:before="0" w:after="100"/>
      </w:pPr>
    </w:p>
    <w:p w14:paraId="4265E59E">
      <w:pPr>
        <w:spacing w:before="80" w:after="100"/>
      </w:pPr>
      <w:r>
        <w:rPr>
          <w:rFonts w:ascii="Arial" w:hAnsi="Arial" w:eastAsia="Arial" w:cs="Arial"/>
          <w:sz w:val="22"/>
          <w:szCs w:val="22"/>
        </w:rPr>
        <w:t>XGBoost handles non-linear feature interactions natively, is robust to the moderate class imbalance present in Geldium's dataset (especially when combined with SMOTE), and consistently outperforms both alternatives on tabular financial data in industry benchmarks. Critically, it is not a black-box model in practice — SHAP values provide feature-level explanations for every prediction, satisfying the transparency and explainability requirements that are standard in financial services regulation (e.g., ECOA adverse action notices, GDPR's right to explanation). XGBoost is also fast to train, well-supported in Python, and straightforward to monitor and retrain as Geldium's portfolio evolves.</w:t>
      </w:r>
    </w:p>
    <w:p w14:paraId="0D0934A8">
      <w:pPr>
        <w:spacing w:before="0" w:after="100"/>
      </w:pPr>
    </w:p>
    <w:tbl>
      <w:tblPr>
        <w:tblStyle w:val="9"/>
        <w:tblW w:w="9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900"/>
        <w:gridCol w:w="1900"/>
        <w:gridCol w:w="3260"/>
      </w:tblGrid>
      <w:tr w14:paraId="27332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F939695">
            <w:pPr>
              <w:jc w:val="center"/>
            </w:pPr>
            <w:r>
              <w:rPr>
                <w:rFonts w:ascii="Arial" w:hAnsi="Arial" w:eastAsia="Arial" w:cs="Arial"/>
                <w:b/>
                <w:bCs/>
                <w:color w:val="FFFFFF"/>
                <w:sz w:val="19"/>
                <w:szCs w:val="19"/>
              </w:rPr>
              <w:t>Criterion</w:t>
            </w:r>
          </w:p>
        </w:tc>
        <w:tc>
          <w:tcPr>
            <w:tcW w:w="19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618BB30">
            <w:pPr>
              <w:jc w:val="center"/>
            </w:pPr>
            <w:r>
              <w:rPr>
                <w:rFonts w:ascii="Arial" w:hAnsi="Arial" w:eastAsia="Arial" w:cs="Arial"/>
                <w:b/>
                <w:bCs/>
                <w:color w:val="FFFFFF"/>
                <w:sz w:val="19"/>
                <w:szCs w:val="19"/>
              </w:rPr>
              <w:t>Logistic Regression</w:t>
            </w:r>
          </w:p>
        </w:tc>
        <w:tc>
          <w:tcPr>
            <w:tcW w:w="19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5449670">
            <w:pPr>
              <w:jc w:val="center"/>
            </w:pPr>
            <w:r>
              <w:rPr>
                <w:rFonts w:ascii="Arial" w:hAnsi="Arial" w:eastAsia="Arial" w:cs="Arial"/>
                <w:b/>
                <w:bCs/>
                <w:color w:val="FFFFFF"/>
                <w:sz w:val="19"/>
                <w:szCs w:val="19"/>
              </w:rPr>
              <w:t>Decision Tree</w:t>
            </w:r>
          </w:p>
        </w:tc>
        <w:tc>
          <w:tcPr>
            <w:tcW w:w="32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F931060">
            <w:pPr>
              <w:jc w:val="center"/>
            </w:pPr>
            <w:r>
              <w:rPr>
                <w:rFonts w:ascii="Arial" w:hAnsi="Arial" w:eastAsia="Arial" w:cs="Arial"/>
                <w:b/>
                <w:bCs/>
                <w:color w:val="FFFFFF"/>
                <w:sz w:val="19"/>
                <w:szCs w:val="19"/>
              </w:rPr>
              <w:t>XGBoost (Selected)</w:t>
            </w:r>
          </w:p>
        </w:tc>
      </w:tr>
      <w:tr w14:paraId="5E8EB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40891C">
            <w:pPr>
              <w:spacing w:before="40" w:after="40"/>
            </w:pPr>
            <w:r>
              <w:rPr>
                <w:rFonts w:ascii="Arial" w:hAnsi="Arial" w:eastAsia="Arial" w:cs="Arial"/>
                <w:sz w:val="20"/>
                <w:szCs w:val="20"/>
              </w:rPr>
              <w:t>Handles non-linear patterns</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FBC580">
            <w:pPr>
              <w:spacing w:before="40" w:after="40"/>
            </w:pPr>
            <w:r>
              <w:rPr>
                <w:rFonts w:ascii="Arial" w:hAnsi="Arial" w:eastAsia="Arial" w:cs="Arial"/>
                <w:sz w:val="20"/>
                <w:szCs w:val="20"/>
              </w:rPr>
              <w:t>No</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6E8F8F">
            <w:pPr>
              <w:spacing w:before="40" w:after="40"/>
            </w:pPr>
            <w:r>
              <w:rPr>
                <w:rFonts w:ascii="Arial" w:hAnsi="Arial" w:eastAsia="Arial" w:cs="Arial"/>
                <w:sz w:val="20"/>
                <w:szCs w:val="20"/>
              </w:rPr>
              <w:t>Partially</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B4BDFD">
            <w:pPr>
              <w:spacing w:before="40" w:after="40"/>
            </w:pPr>
            <w:r>
              <w:rPr>
                <w:rFonts w:ascii="Arial" w:hAnsi="Arial" w:eastAsia="Arial" w:cs="Arial"/>
                <w:sz w:val="20"/>
                <w:szCs w:val="20"/>
              </w:rPr>
              <w:t>Yes</w:t>
            </w:r>
          </w:p>
        </w:tc>
      </w:tr>
      <w:tr w14:paraId="71E08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0DE0FE7">
            <w:pPr>
              <w:spacing w:before="40" w:after="40"/>
            </w:pPr>
            <w:r>
              <w:rPr>
                <w:rFonts w:ascii="Arial" w:hAnsi="Arial" w:eastAsia="Arial" w:cs="Arial"/>
                <w:sz w:val="20"/>
                <w:szCs w:val="20"/>
              </w:rPr>
              <w:t>Performance on imbalanced data</w:t>
            </w:r>
          </w:p>
        </w:tc>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2AF5B79">
            <w:pPr>
              <w:spacing w:before="40" w:after="40"/>
            </w:pPr>
            <w:r>
              <w:rPr>
                <w:rFonts w:ascii="Arial" w:hAnsi="Arial" w:eastAsia="Arial" w:cs="Arial"/>
                <w:sz w:val="20"/>
                <w:szCs w:val="20"/>
              </w:rPr>
              <w:t>Moderate</w:t>
            </w:r>
          </w:p>
        </w:tc>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EFEE71D">
            <w:pPr>
              <w:spacing w:before="40" w:after="40"/>
            </w:pPr>
            <w:r>
              <w:rPr>
                <w:rFonts w:ascii="Arial" w:hAnsi="Arial" w:eastAsia="Arial" w:cs="Arial"/>
                <w:sz w:val="20"/>
                <w:szCs w:val="20"/>
              </w:rPr>
              <w:t>Low</w:t>
            </w:r>
          </w:p>
        </w:tc>
        <w:tc>
          <w:tcPr>
            <w:tcW w:w="32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1B73D3C">
            <w:pPr>
              <w:spacing w:before="40" w:after="40"/>
            </w:pPr>
            <w:r>
              <w:rPr>
                <w:rFonts w:ascii="Arial" w:hAnsi="Arial" w:eastAsia="Arial" w:cs="Arial"/>
                <w:sz w:val="20"/>
                <w:szCs w:val="20"/>
              </w:rPr>
              <w:t>High (with SMOTE)</w:t>
            </w:r>
          </w:p>
        </w:tc>
      </w:tr>
      <w:tr w14:paraId="46AF0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6BA408">
            <w:pPr>
              <w:spacing w:before="40" w:after="40"/>
            </w:pPr>
            <w:r>
              <w:rPr>
                <w:rFonts w:ascii="Arial" w:hAnsi="Arial" w:eastAsia="Arial" w:cs="Arial"/>
                <w:sz w:val="20"/>
                <w:szCs w:val="20"/>
              </w:rPr>
              <w:t>Interpretability</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A56B91">
            <w:pPr>
              <w:spacing w:before="40" w:after="40"/>
            </w:pPr>
            <w:r>
              <w:rPr>
                <w:rFonts w:ascii="Arial" w:hAnsi="Arial" w:eastAsia="Arial" w:cs="Arial"/>
                <w:sz w:val="20"/>
                <w:szCs w:val="20"/>
              </w:rPr>
              <w:t>High</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DAF8C8">
            <w:pPr>
              <w:spacing w:before="40" w:after="40"/>
            </w:pPr>
            <w:r>
              <w:rPr>
                <w:rFonts w:ascii="Arial" w:hAnsi="Arial" w:eastAsia="Arial" w:cs="Arial"/>
                <w:sz w:val="20"/>
                <w:szCs w:val="20"/>
              </w:rPr>
              <w:t>High</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969151">
            <w:pPr>
              <w:spacing w:before="40" w:after="40"/>
            </w:pPr>
            <w:r>
              <w:rPr>
                <w:rFonts w:ascii="Arial" w:hAnsi="Arial" w:eastAsia="Arial" w:cs="Arial"/>
                <w:sz w:val="20"/>
                <w:szCs w:val="20"/>
              </w:rPr>
              <w:t>High (with SHAP)</w:t>
            </w:r>
          </w:p>
        </w:tc>
      </w:tr>
      <w:tr w14:paraId="3563A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4A1A360">
            <w:pPr>
              <w:spacing w:before="40" w:after="40"/>
            </w:pPr>
            <w:r>
              <w:rPr>
                <w:rFonts w:ascii="Arial" w:hAnsi="Arial" w:eastAsia="Arial" w:cs="Arial"/>
                <w:sz w:val="20"/>
                <w:szCs w:val="20"/>
              </w:rPr>
              <w:t>Overfitting risk</w:t>
            </w:r>
          </w:p>
        </w:tc>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FFB0493">
            <w:pPr>
              <w:spacing w:before="40" w:after="40"/>
            </w:pPr>
            <w:r>
              <w:rPr>
                <w:rFonts w:ascii="Arial" w:hAnsi="Arial" w:eastAsia="Arial" w:cs="Arial"/>
                <w:sz w:val="20"/>
                <w:szCs w:val="20"/>
              </w:rPr>
              <w:t>Low</w:t>
            </w:r>
          </w:p>
        </w:tc>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09A7172">
            <w:pPr>
              <w:spacing w:before="40" w:after="40"/>
            </w:pPr>
            <w:r>
              <w:rPr>
                <w:rFonts w:ascii="Arial" w:hAnsi="Arial" w:eastAsia="Arial" w:cs="Arial"/>
                <w:sz w:val="20"/>
                <w:szCs w:val="20"/>
              </w:rPr>
              <w:t>High</w:t>
            </w:r>
          </w:p>
        </w:tc>
        <w:tc>
          <w:tcPr>
            <w:tcW w:w="32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FE09813">
            <w:pPr>
              <w:spacing w:before="40" w:after="40"/>
            </w:pPr>
            <w:r>
              <w:rPr>
                <w:rFonts w:ascii="Arial" w:hAnsi="Arial" w:eastAsia="Arial" w:cs="Arial"/>
                <w:sz w:val="20"/>
                <w:szCs w:val="20"/>
              </w:rPr>
              <w:t>Low (with tuning)</w:t>
            </w:r>
          </w:p>
        </w:tc>
      </w:tr>
      <w:tr w14:paraId="042DF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05FB14">
            <w:pPr>
              <w:spacing w:before="40" w:after="40"/>
            </w:pPr>
            <w:r>
              <w:rPr>
                <w:rFonts w:ascii="Arial" w:hAnsi="Arial" w:eastAsia="Arial" w:cs="Arial"/>
                <w:sz w:val="20"/>
                <w:szCs w:val="20"/>
              </w:rPr>
              <w:t>Regulatory compliance</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D99D31">
            <w:pPr>
              <w:spacing w:before="40" w:after="40"/>
            </w:pPr>
            <w:r>
              <w:rPr>
                <w:rFonts w:ascii="Arial" w:hAnsi="Arial" w:eastAsia="Arial" w:cs="Arial"/>
                <w:sz w:val="20"/>
                <w:szCs w:val="20"/>
              </w:rPr>
              <w:t>Easy</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3C79DD">
            <w:pPr>
              <w:spacing w:before="40" w:after="40"/>
            </w:pPr>
            <w:r>
              <w:rPr>
                <w:rFonts w:ascii="Arial" w:hAnsi="Arial" w:eastAsia="Arial" w:cs="Arial"/>
                <w:sz w:val="20"/>
                <w:szCs w:val="20"/>
              </w:rPr>
              <w:t>Easy</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37BBA9">
            <w:pPr>
              <w:spacing w:before="40" w:after="40"/>
            </w:pPr>
            <w:r>
              <w:rPr>
                <w:rFonts w:ascii="Arial" w:hAnsi="Arial" w:eastAsia="Arial" w:cs="Arial"/>
                <w:sz w:val="20"/>
                <w:szCs w:val="20"/>
              </w:rPr>
              <w:t>Achievable with SHAP</w:t>
            </w:r>
          </w:p>
        </w:tc>
      </w:tr>
      <w:tr w14:paraId="4F132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B909A19">
            <w:pPr>
              <w:spacing w:before="40" w:after="40"/>
            </w:pPr>
            <w:r>
              <w:rPr>
                <w:rFonts w:ascii="Arial" w:hAnsi="Arial" w:eastAsia="Arial" w:cs="Arial"/>
                <w:sz w:val="20"/>
                <w:szCs w:val="20"/>
              </w:rPr>
              <w:t>Recommended for Geldium</w:t>
            </w:r>
          </w:p>
        </w:tc>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0349ED9">
            <w:pPr>
              <w:spacing w:before="40" w:after="40"/>
            </w:pPr>
            <w:r>
              <w:rPr>
                <w:rFonts w:ascii="Arial" w:hAnsi="Arial" w:eastAsia="Arial" w:cs="Arial"/>
                <w:sz w:val="20"/>
                <w:szCs w:val="20"/>
              </w:rPr>
              <w:t>No</w:t>
            </w:r>
          </w:p>
        </w:tc>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8904E4A">
            <w:pPr>
              <w:spacing w:before="40" w:after="40"/>
            </w:pPr>
            <w:r>
              <w:rPr>
                <w:rFonts w:ascii="Arial" w:hAnsi="Arial" w:eastAsia="Arial" w:cs="Arial"/>
                <w:sz w:val="20"/>
                <w:szCs w:val="20"/>
              </w:rPr>
              <w:t>No</w:t>
            </w:r>
          </w:p>
        </w:tc>
        <w:tc>
          <w:tcPr>
            <w:tcW w:w="32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4D4DCBD">
            <w:pPr>
              <w:spacing w:before="40" w:after="40"/>
            </w:pPr>
            <w:r>
              <w:rPr>
                <w:rFonts w:ascii="Arial" w:hAnsi="Arial" w:eastAsia="Arial" w:cs="Arial"/>
                <w:sz w:val="20"/>
                <w:szCs w:val="20"/>
              </w:rPr>
              <w:t>Yes</w:t>
            </w:r>
          </w:p>
        </w:tc>
      </w:tr>
    </w:tbl>
    <w:p w14:paraId="0DC594E3">
      <w:pPr>
        <w:spacing w:before="0" w:after="100"/>
      </w:pPr>
    </w:p>
    <w:p w14:paraId="4A73C8F2">
      <w:pPr>
        <w:pStyle w:val="2"/>
        <w:pBdr>
          <w:bottom w:val="single" w:color="2E75B6" w:sz="4" w:space="1"/>
        </w:pBdr>
        <w:spacing w:before="280" w:after="120"/>
      </w:pPr>
      <w:r>
        <w:rPr>
          <w:rFonts w:ascii="Arial" w:hAnsi="Arial" w:eastAsia="Arial" w:cs="Arial"/>
          <w:b/>
          <w:bCs/>
          <w:sz w:val="26"/>
          <w:szCs w:val="26"/>
        </w:rPr>
        <w:t>3. Evaluation Strategy</w:t>
      </w:r>
    </w:p>
    <w:p w14:paraId="656C7CC3">
      <w:pPr>
        <w:spacing w:before="0" w:after="100"/>
      </w:pPr>
    </w:p>
    <w:p w14:paraId="38CAA28F">
      <w:pPr>
        <w:pStyle w:val="3"/>
        <w:spacing w:before="200" w:after="80"/>
      </w:pPr>
      <w:r>
        <w:rPr>
          <w:rFonts w:ascii="Arial" w:hAnsi="Arial" w:eastAsia="Arial" w:cs="Arial"/>
          <w:b/>
          <w:bCs/>
          <w:color w:val="2E75B6"/>
          <w:sz w:val="23"/>
          <w:szCs w:val="23"/>
        </w:rPr>
        <w:t>3.1  Performance Metrics</w:t>
      </w:r>
    </w:p>
    <w:p w14:paraId="1A2151D0">
      <w:pPr>
        <w:spacing w:before="0" w:after="100"/>
      </w:pPr>
    </w:p>
    <w:p w14:paraId="74EA75CB">
      <w:pPr>
        <w:spacing w:before="80" w:after="100"/>
      </w:pPr>
      <w:r>
        <w:rPr>
          <w:rFonts w:ascii="Arial" w:hAnsi="Arial" w:eastAsia="Arial" w:cs="Arial"/>
          <w:sz w:val="22"/>
          <w:szCs w:val="22"/>
        </w:rPr>
        <w:t>Given the 84:16 class imbalance, accuracy alone is a misleading metric — a model predicting non-delinquent for every customer would achieve 84% accuracy while being useless. The evaluation strategy prioritises the following metrics:</w:t>
      </w:r>
    </w:p>
    <w:p w14:paraId="5A8773ED">
      <w:pPr>
        <w:spacing w:before="0" w:after="100"/>
      </w:pPr>
    </w:p>
    <w:tbl>
      <w:tblPr>
        <w:tblStyle w:val="9"/>
        <w:tblW w:w="9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300"/>
        <w:gridCol w:w="3060"/>
      </w:tblGrid>
      <w:tr w14:paraId="643DE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E7694C7">
            <w:pPr>
              <w:jc w:val="center"/>
            </w:pPr>
            <w:r>
              <w:rPr>
                <w:rFonts w:ascii="Arial" w:hAnsi="Arial" w:eastAsia="Arial" w:cs="Arial"/>
                <w:b/>
                <w:bCs/>
                <w:color w:val="FFFFFF"/>
                <w:sz w:val="19"/>
                <w:szCs w:val="19"/>
              </w:rPr>
              <w:t>Metric</w:t>
            </w:r>
          </w:p>
        </w:tc>
        <w:tc>
          <w:tcPr>
            <w:tcW w:w="4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B9DB150">
            <w:pPr>
              <w:jc w:val="center"/>
            </w:pPr>
            <w:r>
              <w:rPr>
                <w:rFonts w:ascii="Arial" w:hAnsi="Arial" w:eastAsia="Arial" w:cs="Arial"/>
                <w:b/>
                <w:bCs/>
                <w:color w:val="FFFFFF"/>
                <w:sz w:val="19"/>
                <w:szCs w:val="19"/>
              </w:rPr>
              <w:t>Why It Matters</w:t>
            </w:r>
          </w:p>
        </w:tc>
        <w:tc>
          <w:tcPr>
            <w:tcW w:w="30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973C978">
            <w:pPr>
              <w:jc w:val="center"/>
            </w:pPr>
            <w:r>
              <w:rPr>
                <w:rFonts w:ascii="Arial" w:hAnsi="Arial" w:eastAsia="Arial" w:cs="Arial"/>
                <w:b/>
                <w:bCs/>
                <w:color w:val="FFFFFF"/>
                <w:sz w:val="19"/>
                <w:szCs w:val="19"/>
              </w:rPr>
              <w:t>Target</w:t>
            </w:r>
          </w:p>
        </w:tc>
      </w:tr>
      <w:tr w14:paraId="1B598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7D1DE3">
            <w:pPr>
              <w:spacing w:before="40" w:after="40"/>
            </w:pPr>
            <w:r>
              <w:rPr>
                <w:rFonts w:ascii="Arial" w:hAnsi="Arial" w:eastAsia="Arial" w:cs="Arial"/>
                <w:sz w:val="20"/>
                <w:szCs w:val="20"/>
              </w:rPr>
              <w:t>Precision-Recall AUC</w:t>
            </w:r>
          </w:p>
        </w:tc>
        <w:tc>
          <w:tcPr>
            <w:tcW w:w="4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204388">
            <w:pPr>
              <w:spacing w:before="40" w:after="40"/>
            </w:pPr>
            <w:r>
              <w:rPr>
                <w:rFonts w:ascii="Arial" w:hAnsi="Arial" w:eastAsia="Arial" w:cs="Arial"/>
                <w:sz w:val="20"/>
                <w:szCs w:val="20"/>
              </w:rPr>
              <w:t>Best overall metric for imbalanced binary classification. Measures how well the model identifies delinquent customers without excessive false positives.</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3E41A2">
            <w:pPr>
              <w:spacing w:before="40" w:after="40"/>
            </w:pPr>
            <w:r>
              <w:rPr>
                <w:rFonts w:ascii="Arial" w:hAnsi="Arial" w:eastAsia="Arial" w:cs="Arial"/>
                <w:sz w:val="20"/>
                <w:szCs w:val="20"/>
              </w:rPr>
              <w:t>AUC-PR &gt; 0.70</w:t>
            </w:r>
          </w:p>
        </w:tc>
      </w:tr>
      <w:tr w14:paraId="12661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04622E4">
            <w:pPr>
              <w:spacing w:before="40" w:after="40"/>
            </w:pPr>
            <w:r>
              <w:rPr>
                <w:rFonts w:ascii="Arial" w:hAnsi="Arial" w:eastAsia="Arial" w:cs="Arial"/>
                <w:sz w:val="20"/>
                <w:szCs w:val="20"/>
              </w:rPr>
              <w:t>ROC-AUC</w:t>
            </w:r>
          </w:p>
        </w:tc>
        <w:tc>
          <w:tcPr>
            <w:tcW w:w="43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C09B0C9">
            <w:pPr>
              <w:spacing w:before="40" w:after="40"/>
            </w:pPr>
            <w:r>
              <w:rPr>
                <w:rFonts w:ascii="Arial" w:hAnsi="Arial" w:eastAsia="Arial" w:cs="Arial"/>
                <w:sz w:val="20"/>
                <w:szCs w:val="20"/>
              </w:rPr>
              <w:t>Measures model's ability to distinguish delinquent from non-delinquent across all thresholds. Standard benchmark in credit risk.</w:t>
            </w:r>
          </w:p>
        </w:tc>
        <w:tc>
          <w:tcPr>
            <w:tcW w:w="30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4C348B9">
            <w:pPr>
              <w:spacing w:before="40" w:after="40"/>
            </w:pPr>
            <w:r>
              <w:rPr>
                <w:rFonts w:ascii="Arial" w:hAnsi="Arial" w:eastAsia="Arial" w:cs="Arial"/>
                <w:sz w:val="20"/>
                <w:szCs w:val="20"/>
              </w:rPr>
              <w:t>AUC-ROC &gt; 0.75</w:t>
            </w:r>
          </w:p>
        </w:tc>
      </w:tr>
      <w:tr w14:paraId="66C9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D42573">
            <w:pPr>
              <w:spacing w:before="40" w:after="40"/>
            </w:pPr>
            <w:r>
              <w:rPr>
                <w:rFonts w:ascii="Arial" w:hAnsi="Arial" w:eastAsia="Arial" w:cs="Arial"/>
                <w:sz w:val="20"/>
                <w:szCs w:val="20"/>
              </w:rPr>
              <w:t>Recall (Sensitivity)</w:t>
            </w:r>
          </w:p>
        </w:tc>
        <w:tc>
          <w:tcPr>
            <w:tcW w:w="4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058208">
            <w:pPr>
              <w:spacing w:before="40" w:after="40"/>
            </w:pPr>
            <w:r>
              <w:rPr>
                <w:rFonts w:ascii="Arial" w:hAnsi="Arial" w:eastAsia="Arial" w:cs="Arial"/>
                <w:sz w:val="20"/>
                <w:szCs w:val="20"/>
              </w:rPr>
              <w:t>Of all actual delinquent customers, how many did the model catch? Missing a high-risk customer is costly for Geldium's Collections team.</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BF3D41">
            <w:pPr>
              <w:spacing w:before="40" w:after="40"/>
            </w:pPr>
            <w:r>
              <w:rPr>
                <w:rFonts w:ascii="Arial" w:hAnsi="Arial" w:eastAsia="Arial" w:cs="Arial"/>
                <w:sz w:val="20"/>
                <w:szCs w:val="20"/>
              </w:rPr>
              <w:t>&gt; 0.65</w:t>
            </w:r>
          </w:p>
        </w:tc>
      </w:tr>
      <w:tr w14:paraId="3434F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417AFC8">
            <w:pPr>
              <w:spacing w:before="40" w:after="40"/>
            </w:pPr>
            <w:r>
              <w:rPr>
                <w:rFonts w:ascii="Arial" w:hAnsi="Arial" w:eastAsia="Arial" w:cs="Arial"/>
                <w:sz w:val="20"/>
                <w:szCs w:val="20"/>
              </w:rPr>
              <w:t>Precision</w:t>
            </w:r>
          </w:p>
        </w:tc>
        <w:tc>
          <w:tcPr>
            <w:tcW w:w="43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0DE6841">
            <w:pPr>
              <w:spacing w:before="40" w:after="40"/>
            </w:pPr>
            <w:r>
              <w:rPr>
                <w:rFonts w:ascii="Arial" w:hAnsi="Arial" w:eastAsia="Arial" w:cs="Arial"/>
                <w:sz w:val="20"/>
                <w:szCs w:val="20"/>
              </w:rPr>
              <w:t>Of all customers flagged as high-risk, how many were actually delinquent? High false positives waste outreach resources.</w:t>
            </w:r>
          </w:p>
        </w:tc>
        <w:tc>
          <w:tcPr>
            <w:tcW w:w="30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76EEA42">
            <w:pPr>
              <w:spacing w:before="40" w:after="40"/>
            </w:pPr>
            <w:r>
              <w:rPr>
                <w:rFonts w:ascii="Arial" w:hAnsi="Arial" w:eastAsia="Arial" w:cs="Arial"/>
                <w:sz w:val="20"/>
                <w:szCs w:val="20"/>
              </w:rPr>
              <w:t>&gt; 0.55</w:t>
            </w:r>
          </w:p>
        </w:tc>
      </w:tr>
      <w:tr w14:paraId="1CA77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05499E">
            <w:pPr>
              <w:spacing w:before="40" w:after="40"/>
            </w:pPr>
            <w:r>
              <w:rPr>
                <w:rFonts w:ascii="Arial" w:hAnsi="Arial" w:eastAsia="Arial" w:cs="Arial"/>
                <w:sz w:val="20"/>
                <w:szCs w:val="20"/>
              </w:rPr>
              <w:t>F1 Score</w:t>
            </w:r>
          </w:p>
        </w:tc>
        <w:tc>
          <w:tcPr>
            <w:tcW w:w="4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5B2BF9">
            <w:pPr>
              <w:spacing w:before="40" w:after="40"/>
            </w:pPr>
            <w:r>
              <w:rPr>
                <w:rFonts w:ascii="Arial" w:hAnsi="Arial" w:eastAsia="Arial" w:cs="Arial"/>
                <w:sz w:val="20"/>
                <w:szCs w:val="20"/>
              </w:rPr>
              <w:t>Harmonic mean of precision and recall. Useful single summary metric when both false positives and false negatives matter.</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3D12AA">
            <w:pPr>
              <w:spacing w:before="40" w:after="40"/>
            </w:pPr>
            <w:r>
              <w:rPr>
                <w:rFonts w:ascii="Arial" w:hAnsi="Arial" w:eastAsia="Arial" w:cs="Arial"/>
                <w:sz w:val="20"/>
                <w:szCs w:val="20"/>
              </w:rPr>
              <w:t>&gt; 0.60</w:t>
            </w:r>
          </w:p>
        </w:tc>
      </w:tr>
      <w:tr w14:paraId="36709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3DC54CA">
            <w:pPr>
              <w:spacing w:before="40" w:after="40"/>
            </w:pPr>
            <w:r>
              <w:rPr>
                <w:rFonts w:ascii="Arial" w:hAnsi="Arial" w:eastAsia="Arial" w:cs="Arial"/>
                <w:sz w:val="20"/>
                <w:szCs w:val="20"/>
              </w:rPr>
              <w:t>Accuracy</w:t>
            </w:r>
          </w:p>
        </w:tc>
        <w:tc>
          <w:tcPr>
            <w:tcW w:w="43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27F82BD">
            <w:pPr>
              <w:spacing w:before="40" w:after="40"/>
            </w:pPr>
            <w:r>
              <w:rPr>
                <w:rFonts w:ascii="Arial" w:hAnsi="Arial" w:eastAsia="Arial" w:cs="Arial"/>
                <w:sz w:val="20"/>
                <w:szCs w:val="20"/>
              </w:rPr>
              <w:t>Reported for completeness but not the primary metric given class imbalance.</w:t>
            </w:r>
          </w:p>
        </w:tc>
        <w:tc>
          <w:tcPr>
            <w:tcW w:w="30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3A36DE6">
            <w:pPr>
              <w:spacing w:before="40" w:after="40"/>
            </w:pPr>
            <w:r>
              <w:rPr>
                <w:rFonts w:ascii="Arial" w:hAnsi="Arial" w:eastAsia="Arial" w:cs="Arial"/>
                <w:sz w:val="20"/>
                <w:szCs w:val="20"/>
              </w:rPr>
              <w:t>Informational only</w:t>
            </w:r>
          </w:p>
        </w:tc>
      </w:tr>
    </w:tbl>
    <w:p w14:paraId="69871E55">
      <w:pPr>
        <w:spacing w:before="0" w:after="100"/>
      </w:pPr>
    </w:p>
    <w:p w14:paraId="5ECB368D">
      <w:pPr>
        <w:pStyle w:val="3"/>
        <w:spacing w:before="200" w:after="80"/>
      </w:pPr>
      <w:r>
        <w:rPr>
          <w:rFonts w:ascii="Arial" w:hAnsi="Arial" w:eastAsia="Arial" w:cs="Arial"/>
          <w:b/>
          <w:bCs/>
          <w:color w:val="2E75B6"/>
          <w:sz w:val="23"/>
          <w:szCs w:val="23"/>
        </w:rPr>
        <w:t>3.2  Bias and Fairness Checks</w:t>
      </w:r>
    </w:p>
    <w:p w14:paraId="5DAC5EA4">
      <w:pPr>
        <w:spacing w:before="0" w:after="100"/>
      </w:pPr>
    </w:p>
    <w:p w14:paraId="407AF27C">
      <w:pPr>
        <w:spacing w:before="80" w:after="100"/>
      </w:pPr>
      <w:r>
        <w:rPr>
          <w:rFonts w:ascii="Arial" w:hAnsi="Arial" w:eastAsia="Arial" w:cs="Arial"/>
          <w:sz w:val="22"/>
          <w:szCs w:val="22"/>
        </w:rPr>
        <w:t>Because the model's predictions will influence collections outreach and potentially affect access to credit support, fairness checks are essential. The following approach will be applied:</w:t>
      </w:r>
    </w:p>
    <w:p w14:paraId="10236FB3">
      <w:pPr>
        <w:spacing w:before="0" w:after="100"/>
      </w:pPr>
    </w:p>
    <w:p w14:paraId="597B284A">
      <w:pPr>
        <w:pStyle w:val="16"/>
        <w:numPr>
          <w:ilvl w:val="0"/>
          <w:numId w:val="2"/>
        </w:numPr>
        <w:spacing w:before="40" w:after="60"/>
      </w:pPr>
      <w:r>
        <w:rPr>
          <w:rFonts w:ascii="Arial" w:hAnsi="Arial" w:eastAsia="Arial" w:cs="Arial"/>
          <w:sz w:val="22"/>
          <w:szCs w:val="22"/>
        </w:rPr>
        <w:t>Disparate impact analysis: Compare predicted delinquency rates across demographic subgroups — specifically age group and location — to ensure the model is not disproportionately flagging customers from particular groups without a corresponding difference in actual delinquency rates.</w:t>
      </w:r>
    </w:p>
    <w:p w14:paraId="4A72B6D9">
      <w:pPr>
        <w:pStyle w:val="16"/>
        <w:numPr>
          <w:ilvl w:val="0"/>
          <w:numId w:val="2"/>
        </w:numPr>
        <w:spacing w:before="40" w:after="60"/>
      </w:pPr>
      <w:r>
        <w:rPr>
          <w:rFonts w:ascii="Arial" w:hAnsi="Arial" w:eastAsia="Arial" w:cs="Arial"/>
          <w:sz w:val="22"/>
          <w:szCs w:val="22"/>
        </w:rPr>
        <w:t>Feature sensitivity review: Confirm that Age and Location are not implicitly acting as proxies for protected characteristics. If their SHAP contribution is disproportionate to their direct predictive value, they should be removed from the feature set.</w:t>
      </w:r>
    </w:p>
    <w:p w14:paraId="25F6341D">
      <w:pPr>
        <w:pStyle w:val="16"/>
        <w:numPr>
          <w:ilvl w:val="0"/>
          <w:numId w:val="2"/>
        </w:numPr>
        <w:spacing w:before="40" w:after="60"/>
      </w:pPr>
      <w:r>
        <w:rPr>
          <w:rFonts w:ascii="Arial" w:hAnsi="Arial" w:eastAsia="Arial" w:cs="Arial"/>
          <w:sz w:val="22"/>
          <w:szCs w:val="22"/>
        </w:rPr>
        <w:t>Threshold calibration: The default 0.5 threshold may be adjusted based on the business context. A lower threshold (e.g., 0.35) increases recall — catching more at-risk customers — but increases false positives. Geldium's Collections team should set this threshold based on the cost of a missed high-risk customer vs. the cost of unnecessary outreach.</w:t>
      </w:r>
    </w:p>
    <w:p w14:paraId="1B8CF3DA">
      <w:pPr>
        <w:pStyle w:val="16"/>
        <w:numPr>
          <w:ilvl w:val="0"/>
          <w:numId w:val="2"/>
        </w:numPr>
        <w:spacing w:before="40" w:after="60"/>
      </w:pPr>
      <w:r>
        <w:rPr>
          <w:rFonts w:ascii="Arial" w:hAnsi="Arial" w:eastAsia="Arial" w:cs="Arial"/>
          <w:sz w:val="22"/>
          <w:szCs w:val="22"/>
        </w:rPr>
        <w:t>Holdout validation by subgroup: Report F1 and recall separately for unemployed, retired, and employed customer segments to ensure no group is systematically underserved or over-flagged by the model.</w:t>
      </w:r>
    </w:p>
    <w:p w14:paraId="1ECC9049">
      <w:pPr>
        <w:spacing w:before="0" w:after="100"/>
      </w:pPr>
    </w:p>
    <w:p w14:paraId="0637A927">
      <w:pPr>
        <w:pStyle w:val="3"/>
        <w:spacing w:before="200" w:after="80"/>
      </w:pPr>
      <w:r>
        <w:rPr>
          <w:rFonts w:ascii="Arial" w:hAnsi="Arial" w:eastAsia="Arial" w:cs="Arial"/>
          <w:b/>
          <w:bCs/>
          <w:color w:val="2E75B6"/>
          <w:sz w:val="23"/>
          <w:szCs w:val="23"/>
        </w:rPr>
        <w:t>3.3  Ethical Considerations</w:t>
      </w:r>
    </w:p>
    <w:p w14:paraId="032CECC2">
      <w:pPr>
        <w:spacing w:before="0" w:after="100"/>
      </w:pPr>
    </w:p>
    <w:p w14:paraId="280AD4A0">
      <w:pPr>
        <w:pStyle w:val="16"/>
        <w:numPr>
          <w:ilvl w:val="0"/>
          <w:numId w:val="2"/>
        </w:numPr>
        <w:spacing w:before="40" w:after="60"/>
      </w:pPr>
      <w:r>
        <w:rPr>
          <w:rFonts w:ascii="Arial" w:hAnsi="Arial" w:eastAsia="Arial" w:cs="Arial"/>
          <w:sz w:val="22"/>
          <w:szCs w:val="22"/>
        </w:rPr>
        <w:t>Explainability requirement: Every prediction flagged as high-risk should be accompanied by the top 3 SHAP features driving that decision. This supports adverse action notice requirements and allows collections staff to understand and contextualise the model's output.</w:t>
      </w:r>
    </w:p>
    <w:p w14:paraId="18C874B0">
      <w:pPr>
        <w:pStyle w:val="16"/>
        <w:numPr>
          <w:ilvl w:val="0"/>
          <w:numId w:val="2"/>
        </w:numPr>
        <w:spacing w:before="40" w:after="60"/>
      </w:pPr>
      <w:r>
        <w:rPr>
          <w:rFonts w:ascii="Arial" w:hAnsi="Arial" w:eastAsia="Arial" w:cs="Arial"/>
          <w:sz w:val="22"/>
          <w:szCs w:val="22"/>
        </w:rPr>
        <w:t>Human oversight: The model should function as a decision-support tool, not an automated decision-maker. Collections staff should review model outputs before initiating customer outreach, particularly for borderline probability scores (0.35–0.55).</w:t>
      </w:r>
    </w:p>
    <w:p w14:paraId="134787B4">
      <w:pPr>
        <w:pStyle w:val="16"/>
        <w:numPr>
          <w:ilvl w:val="0"/>
          <w:numId w:val="2"/>
        </w:numPr>
        <w:spacing w:before="40" w:after="60"/>
      </w:pPr>
      <w:r>
        <w:rPr>
          <w:rFonts w:ascii="Arial" w:hAnsi="Arial" w:eastAsia="Arial" w:cs="Arial"/>
          <w:sz w:val="22"/>
          <w:szCs w:val="22"/>
        </w:rPr>
        <w:t>Periodic retraining: Model performance should be evaluated quarterly against fresh data. Credit risk patterns shift with macroeconomic conditions, and a model trained on 2024 data may degrade in 2025 without updates.</w:t>
      </w:r>
    </w:p>
    <w:p w14:paraId="40455F1F">
      <w:pPr>
        <w:pStyle w:val="16"/>
        <w:numPr>
          <w:ilvl w:val="0"/>
          <w:numId w:val="2"/>
        </w:numPr>
        <w:spacing w:before="40" w:after="60"/>
      </w:pPr>
      <w:r>
        <w:rPr>
          <w:rFonts w:ascii="Arial" w:hAnsi="Arial" w:eastAsia="Arial" w:cs="Arial"/>
          <w:sz w:val="22"/>
          <w:szCs w:val="22"/>
        </w:rPr>
        <w:t>No direct use of sensitive attributes: Protected characteristics (e.g., age as a proxy for demographic group) should be monitored. If Age's SHAP contribution suggests it is functioning as a demographic proxy rather than a genuine financial risk signal, it should be excluded from the production model.</w:t>
      </w:r>
    </w:p>
    <w:p w14:paraId="48A3CDB5">
      <w:pPr>
        <w:spacing w:before="0" w:after="100"/>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13D906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80" w:after="120"/>
      <w:outlineLvl w:val="0"/>
    </w:pPr>
    <w:rPr>
      <w:rFonts w:ascii="Arial" w:hAnsi="Arial" w:eastAsia="Arial" w:cs="Arial"/>
      <w:b/>
      <w:bCs/>
      <w:sz w:val="26"/>
      <w:szCs w:val="26"/>
    </w:rPr>
  </w:style>
  <w:style w:type="paragraph" w:styleId="3">
    <w:name w:val="heading 2"/>
    <w:next w:val="1"/>
    <w:qFormat/>
    <w:uiPriority w:val="0"/>
    <w:pPr>
      <w:spacing w:before="200" w:after="80"/>
      <w:outlineLvl w:val="1"/>
    </w:pPr>
    <w:rPr>
      <w:rFonts w:ascii="Arial" w:hAnsi="Arial" w:eastAsia="Arial" w:cs="Arial"/>
      <w:b/>
      <w:bCs/>
      <w:color w:val="2E75B6"/>
      <w:sz w:val="23"/>
      <w:szCs w:val="23"/>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668</Words>
  <Characters>4571</Characters>
  <TotalTime>0</TotalTime>
  <ScaleCrop>false</ScaleCrop>
  <LinksUpToDate>false</LinksUpToDate>
  <CharactersWithSpaces>5183</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2026-04-09T04:22:00Z</dcterms:created>
  <dc:creator>Un-named</dc:creator>
  <cp:lastModifiedBy>DELL</cp:lastModifiedBy>
  <dcterms:modified xsi:type="dcterms:W3CDTF">2026-04-11T22:31:07Z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eyJoZGlkIjoiODRhYjkzYTVlMjEzNTZhYjFmMzI1MTczZjdhODI2YjYiLCJ1c2VySWQiOiI1NjcyNjcwMDUwNjAifQ==</vt:lpwstr>
  </property>
  <property fmtid="{D5CDD505-2E9C-101B-9397-08002B2CF9AE}" pid="3" name="KSOProductBuildVer">
    <vt:lpwstr>1033-12.1.0.25830</vt:lpwstr>
  </property>
  <property fmtid="{D5CDD505-2E9C-101B-9397-08002B2CF9AE}" pid="4" name="ICV">
    <vt:lpwstr>183E328F66F74A5F8A48C01E7936CA4B_12</vt:lpwstr>
  </property>
</Properties>
</file>