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90" w:type="dxa"/>
        <w:tblInd w:w="-494" w:type="dxa"/>
        <w:tblLook w:val="04A0" w:firstRow="1" w:lastRow="0" w:firstColumn="1" w:lastColumn="0" w:noHBand="0" w:noVBand="1"/>
      </w:tblPr>
      <w:tblGrid>
        <w:gridCol w:w="1342"/>
        <w:gridCol w:w="2044"/>
        <w:gridCol w:w="3357"/>
        <w:gridCol w:w="1697"/>
        <w:gridCol w:w="2639"/>
        <w:gridCol w:w="4011"/>
      </w:tblGrid>
      <w:tr w:rsidR="0063123F" w:rsidRPr="00B55774" w14:paraId="335E4D6B" w14:textId="77777777" w:rsidTr="00FE40AE">
        <w:tc>
          <w:tcPr>
            <w:tcW w:w="1338" w:type="dxa"/>
          </w:tcPr>
          <w:p w14:paraId="7F90F582" w14:textId="76BB89EC" w:rsidR="0063123F" w:rsidRPr="00B55774" w:rsidRDefault="00FE40AE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Compound</w:t>
            </w:r>
            <w:r>
              <w:rPr>
                <w:rFonts w:ascii="Aptos" w:hAnsi="Aptos"/>
                <w:sz w:val="23"/>
                <w:szCs w:val="23"/>
              </w:rPr>
              <w:br/>
              <w:t>number</w:t>
            </w:r>
          </w:p>
        </w:tc>
        <w:tc>
          <w:tcPr>
            <w:tcW w:w="1136" w:type="dxa"/>
            <w:vAlign w:val="center"/>
          </w:tcPr>
          <w:p w14:paraId="70C85CBB" w14:textId="1DF6745A" w:rsidR="0063123F" w:rsidRPr="00B55774" w:rsidRDefault="00FE40AE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Warhead</w:t>
            </w:r>
          </w:p>
        </w:tc>
        <w:tc>
          <w:tcPr>
            <w:tcW w:w="3685" w:type="dxa"/>
            <w:vAlign w:val="center"/>
          </w:tcPr>
          <w:p w14:paraId="519A6014" w14:textId="2020AA7C" w:rsidR="0063123F" w:rsidRPr="00B55774" w:rsidRDefault="0063123F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 xml:space="preserve">Linker motif(s) </w:t>
            </w:r>
          </w:p>
        </w:tc>
        <w:tc>
          <w:tcPr>
            <w:tcW w:w="1701" w:type="dxa"/>
            <w:vAlign w:val="center"/>
          </w:tcPr>
          <w:p w14:paraId="2A64B98E" w14:textId="2387BD11" w:rsidR="0063123F" w:rsidRPr="00B55774" w:rsidRDefault="00FE40AE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Anchor</w:t>
            </w:r>
          </w:p>
        </w:tc>
        <w:tc>
          <w:tcPr>
            <w:tcW w:w="2835" w:type="dxa"/>
            <w:vAlign w:val="center"/>
          </w:tcPr>
          <w:p w14:paraId="6FB5FD62" w14:textId="296CFFA8" w:rsidR="0063123F" w:rsidRPr="00B55774" w:rsidRDefault="00B55774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P</w:t>
            </w:r>
            <w:r w:rsidR="0063123F" w:rsidRPr="00B55774">
              <w:rPr>
                <w:rFonts w:ascii="Aptos" w:hAnsi="Aptos"/>
                <w:sz w:val="23"/>
                <w:szCs w:val="23"/>
              </w:rPr>
              <w:t xml:space="preserve">redicted lipophilicity </w:t>
            </w:r>
            <w:r w:rsidR="00FE40AE">
              <w:rPr>
                <w:rFonts w:ascii="Aptos" w:hAnsi="Aptos"/>
                <w:sz w:val="23"/>
                <w:szCs w:val="23"/>
              </w:rPr>
              <w:br/>
            </w:r>
            <w:r w:rsidR="0063123F" w:rsidRPr="00B55774">
              <w:rPr>
                <w:rFonts w:ascii="Aptos" w:hAnsi="Aptos"/>
                <w:sz w:val="23"/>
                <w:szCs w:val="23"/>
              </w:rPr>
              <w:t>(logD) at pH=7</w:t>
            </w:r>
            <w:r w:rsidRPr="00B55774">
              <w:rPr>
                <w:rFonts w:ascii="Aptos" w:hAnsi="Aptos"/>
                <w:sz w:val="23"/>
                <w:szCs w:val="23"/>
              </w:rPr>
              <w:t xml:space="preserve"> (OPTIONAL)</w:t>
            </w:r>
          </w:p>
        </w:tc>
        <w:tc>
          <w:tcPr>
            <w:tcW w:w="4395" w:type="dxa"/>
            <w:vAlign w:val="center"/>
          </w:tcPr>
          <w:p w14:paraId="752F51B4" w14:textId="111F1003" w:rsidR="0063123F" w:rsidRPr="00B55774" w:rsidRDefault="0063123F" w:rsidP="00552135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Justification</w:t>
            </w:r>
          </w:p>
        </w:tc>
      </w:tr>
      <w:tr w:rsidR="0063123F" w:rsidRPr="00B55774" w14:paraId="12D19688" w14:textId="77777777" w:rsidTr="00FE40AE">
        <w:tc>
          <w:tcPr>
            <w:tcW w:w="1338" w:type="dxa"/>
          </w:tcPr>
          <w:p w14:paraId="419B112C" w14:textId="2B8E4CEB" w:rsidR="0063123F" w:rsidRPr="00B55774" w:rsidRDefault="0063123F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0</w:t>
            </w:r>
          </w:p>
        </w:tc>
        <w:tc>
          <w:tcPr>
            <w:tcW w:w="1136" w:type="dxa"/>
          </w:tcPr>
          <w:p w14:paraId="43CCD26B" w14:textId="637592B5" w:rsidR="0063123F" w:rsidRPr="00B55774" w:rsidRDefault="0063123F" w:rsidP="00693A14">
            <w:pPr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W</w:t>
            </w:r>
            <w:r w:rsidR="00C74AFA">
              <w:rPr>
                <w:rFonts w:ascii="Aptos" w:hAnsi="Aptos"/>
                <w:sz w:val="23"/>
                <w:szCs w:val="23"/>
              </w:rPr>
              <w:t>o</w:t>
            </w:r>
            <w:r w:rsidRPr="00B55774">
              <w:rPr>
                <w:rFonts w:ascii="Aptos" w:hAnsi="Aptos"/>
                <w:sz w:val="23"/>
                <w:szCs w:val="23"/>
              </w:rPr>
              <w:t>gonin</w:t>
            </w:r>
          </w:p>
        </w:tc>
        <w:tc>
          <w:tcPr>
            <w:tcW w:w="3685" w:type="dxa"/>
          </w:tcPr>
          <w:p w14:paraId="23B136D4" w14:textId="7B003ABA" w:rsidR="0063123F" w:rsidRPr="00B55774" w:rsidRDefault="0063123F" w:rsidP="00693A14">
            <w:pPr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Triazole + Alkyl</w:t>
            </w:r>
            <w:r w:rsidR="00FE40AE">
              <w:rPr>
                <w:rFonts w:ascii="Aptos" w:hAnsi="Aptos"/>
                <w:sz w:val="23"/>
                <w:szCs w:val="23"/>
              </w:rPr>
              <w:t xml:space="preserve"> x 7</w:t>
            </w:r>
            <w:r w:rsidR="00900541">
              <w:rPr>
                <w:rFonts w:ascii="Aptos" w:hAnsi="Aptos"/>
                <w:sz w:val="23"/>
                <w:szCs w:val="23"/>
              </w:rPr>
              <w:t xml:space="preserve"> + Amide</w:t>
            </w:r>
          </w:p>
        </w:tc>
        <w:tc>
          <w:tcPr>
            <w:tcW w:w="1701" w:type="dxa"/>
          </w:tcPr>
          <w:p w14:paraId="60912254" w14:textId="329C3C84" w:rsidR="0063123F" w:rsidRPr="00B55774" w:rsidRDefault="0063123F" w:rsidP="00693A14">
            <w:pPr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Pomalidomide</w:t>
            </w:r>
            <w:r w:rsidR="00FE40AE">
              <w:rPr>
                <w:rFonts w:ascii="Aptos" w:hAnsi="Aptos"/>
                <w:sz w:val="23"/>
                <w:szCs w:val="23"/>
              </w:rPr>
              <w:t xml:space="preserve"> </w:t>
            </w:r>
          </w:p>
        </w:tc>
        <w:tc>
          <w:tcPr>
            <w:tcW w:w="2835" w:type="dxa"/>
          </w:tcPr>
          <w:p w14:paraId="60F2D5D8" w14:textId="6C9A8315" w:rsidR="0063123F" w:rsidRPr="00B55774" w:rsidRDefault="00FE40AE" w:rsidP="00B55774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~</w:t>
            </w:r>
            <w:r w:rsidR="00B55774" w:rsidRPr="00B55774">
              <w:rPr>
                <w:rFonts w:ascii="Aptos" w:hAnsi="Aptos"/>
                <w:sz w:val="23"/>
                <w:szCs w:val="23"/>
              </w:rPr>
              <w:t>3.5</w:t>
            </w:r>
          </w:p>
        </w:tc>
        <w:tc>
          <w:tcPr>
            <w:tcW w:w="4395" w:type="dxa"/>
          </w:tcPr>
          <w:p w14:paraId="3ADEDD03" w14:textId="7545BE59" w:rsidR="0063123F" w:rsidRPr="00B55774" w:rsidRDefault="0063123F" w:rsidP="00693A14">
            <w:pPr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 xml:space="preserve">The starting </w:t>
            </w:r>
            <w:r w:rsidR="005208EA">
              <w:rPr>
                <w:rFonts w:ascii="Aptos" w:hAnsi="Aptos"/>
                <w:sz w:val="23"/>
                <w:szCs w:val="23"/>
              </w:rPr>
              <w:t>compound</w:t>
            </w:r>
          </w:p>
        </w:tc>
      </w:tr>
      <w:tr w:rsidR="0063123F" w:rsidRPr="00B55774" w14:paraId="0CEBF403" w14:textId="77777777" w:rsidTr="00FE40AE">
        <w:tc>
          <w:tcPr>
            <w:tcW w:w="1338" w:type="dxa"/>
          </w:tcPr>
          <w:p w14:paraId="4FEFCE67" w14:textId="52FCCB50" w:rsidR="0063123F" w:rsidRPr="00B55774" w:rsidRDefault="0063123F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1</w:t>
            </w:r>
          </w:p>
        </w:tc>
        <w:tc>
          <w:tcPr>
            <w:tcW w:w="1136" w:type="dxa"/>
          </w:tcPr>
          <w:p w14:paraId="3DCE29BF" w14:textId="0B768847" w:rsidR="0063123F" w:rsidRPr="00B55774" w:rsidRDefault="00520227" w:rsidP="00693A14">
            <w:pPr>
              <w:rPr>
                <w:rFonts w:ascii="Aptos" w:hAnsi="Aptos"/>
                <w:sz w:val="23"/>
                <w:szCs w:val="23"/>
              </w:rPr>
            </w:pPr>
            <w:r w:rsidRPr="00520227">
              <w:t>Substituted pyridopyrimidine (Br, NH</w:t>
            </w:r>
            <w:r w:rsidRPr="00520227">
              <w:rPr>
                <w:rFonts w:ascii="Cambria Math" w:hAnsi="Cambria Math" w:cs="Cambria Math"/>
              </w:rPr>
              <w:t>₂</w:t>
            </w:r>
            <w:r w:rsidRPr="00520227">
              <w:t>, F)</w:t>
            </w:r>
          </w:p>
        </w:tc>
        <w:tc>
          <w:tcPr>
            <w:tcW w:w="3685" w:type="dxa"/>
          </w:tcPr>
          <w:p w14:paraId="2924668B" w14:textId="1C77F036" w:rsidR="0063123F" w:rsidRPr="00B55774" w:rsidRDefault="00520227" w:rsidP="00693A14">
            <w:pPr>
              <w:rPr>
                <w:rFonts w:ascii="Aptos" w:hAnsi="Aptos"/>
                <w:sz w:val="23"/>
                <w:szCs w:val="23"/>
              </w:rPr>
            </w:pPr>
            <w:r w:rsidRPr="00520227">
              <w:t>PEG-based linker with sulfonamide</w:t>
            </w:r>
          </w:p>
        </w:tc>
        <w:tc>
          <w:tcPr>
            <w:tcW w:w="1701" w:type="dxa"/>
          </w:tcPr>
          <w:p w14:paraId="747EBA62" w14:textId="411753BF" w:rsidR="0063123F" w:rsidRPr="00B55774" w:rsidRDefault="00520227" w:rsidP="00693A14">
            <w:pPr>
              <w:rPr>
                <w:rFonts w:ascii="Aptos" w:hAnsi="Aptos"/>
                <w:sz w:val="23"/>
                <w:szCs w:val="23"/>
              </w:rPr>
            </w:pPr>
            <w:r w:rsidRPr="00520227">
              <w:t>Thalidomide analog (CRBN binder)</w:t>
            </w:r>
          </w:p>
        </w:tc>
        <w:tc>
          <w:tcPr>
            <w:tcW w:w="2835" w:type="dxa"/>
          </w:tcPr>
          <w:p w14:paraId="3CC14447" w14:textId="5D1C2C19" w:rsidR="0063123F" w:rsidRPr="00B55774" w:rsidRDefault="00C41631" w:rsidP="00B55774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Approx 2.4</w:t>
            </w:r>
          </w:p>
        </w:tc>
        <w:tc>
          <w:tcPr>
            <w:tcW w:w="4395" w:type="dxa"/>
          </w:tcPr>
          <w:p w14:paraId="78844378" w14:textId="77777777" w:rsidR="00520227" w:rsidRDefault="00520227" w:rsidP="0052022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warhead is a known kinase-binding motif (CDK9) with high polarity; PEG linker offers flexibility and improves solubility; CRBN-based anchor is a validated E3 ligase recruiter.</w:t>
            </w:r>
          </w:p>
          <w:p w14:paraId="5D65293D" w14:textId="39F4F19D" w:rsidR="0063123F" w:rsidRPr="00B55774" w:rsidRDefault="0063123F" w:rsidP="00693A14">
            <w:pPr>
              <w:rPr>
                <w:rFonts w:ascii="Aptos" w:hAnsi="Aptos"/>
                <w:sz w:val="23"/>
                <w:szCs w:val="23"/>
              </w:rPr>
            </w:pPr>
          </w:p>
        </w:tc>
      </w:tr>
      <w:tr w:rsidR="00FE40AE" w:rsidRPr="00B55774" w14:paraId="7E9E28D3" w14:textId="77777777" w:rsidTr="00FE40AE">
        <w:tc>
          <w:tcPr>
            <w:tcW w:w="1338" w:type="dxa"/>
          </w:tcPr>
          <w:p w14:paraId="01C890E6" w14:textId="0324DFCC" w:rsidR="00FE40AE" w:rsidRPr="00B55774" w:rsidRDefault="00FE40AE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2</w:t>
            </w:r>
          </w:p>
        </w:tc>
        <w:tc>
          <w:tcPr>
            <w:tcW w:w="1136" w:type="dxa"/>
          </w:tcPr>
          <w:p w14:paraId="6258B63E" w14:textId="4079BF81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t>Similar to #1 (minor substitutions)</w:t>
            </w:r>
          </w:p>
        </w:tc>
        <w:tc>
          <w:tcPr>
            <w:tcW w:w="3685" w:type="dxa"/>
          </w:tcPr>
          <w:p w14:paraId="00545E17" w14:textId="46D635C3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t>PEG + sulfonamide</w:t>
            </w:r>
          </w:p>
        </w:tc>
        <w:tc>
          <w:tcPr>
            <w:tcW w:w="1701" w:type="dxa"/>
          </w:tcPr>
          <w:p w14:paraId="3FAA4B9B" w14:textId="32ECF334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t>Thalidomide-like</w:t>
            </w:r>
          </w:p>
        </w:tc>
        <w:tc>
          <w:tcPr>
            <w:tcW w:w="2835" w:type="dxa"/>
          </w:tcPr>
          <w:p w14:paraId="0629EA8D" w14:textId="26AC0201" w:rsidR="00FE40AE" w:rsidRPr="00C41631" w:rsidRDefault="00062BD8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C41631">
              <w:t xml:space="preserve">Approx. </w:t>
            </w:r>
            <w:r w:rsidR="00C41631">
              <w:rPr>
                <w:rStyle w:val="Strong"/>
              </w:rPr>
              <w:t>2.6</w:t>
            </w:r>
          </w:p>
        </w:tc>
        <w:tc>
          <w:tcPr>
            <w:tcW w:w="4395" w:type="dxa"/>
          </w:tcPr>
          <w:p w14:paraId="22DC704D" w14:textId="77777777" w:rsidR="00520227" w:rsidRDefault="00520227" w:rsidP="0052022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Structural similarity to #1 suggests CDK9 engagement; PEG increases linker length and improves pharmacokinetics; anchor likely ensures E3 ligase recruitment.</w:t>
            </w:r>
          </w:p>
          <w:p w14:paraId="03235C72" w14:textId="35BF0F91" w:rsidR="00FE40AE" w:rsidRPr="00B55774" w:rsidRDefault="00FE40AE" w:rsidP="00FE40AE">
            <w:pPr>
              <w:rPr>
                <w:rFonts w:ascii="Aptos" w:hAnsi="Aptos"/>
                <w:sz w:val="23"/>
                <w:szCs w:val="23"/>
              </w:rPr>
            </w:pPr>
          </w:p>
        </w:tc>
      </w:tr>
      <w:tr w:rsidR="00FE40AE" w:rsidRPr="00B55774" w14:paraId="1C224EDC" w14:textId="77777777" w:rsidTr="00FE40AE">
        <w:tc>
          <w:tcPr>
            <w:tcW w:w="1338" w:type="dxa"/>
          </w:tcPr>
          <w:p w14:paraId="6159563D" w14:textId="38AA37E0" w:rsidR="00FE40AE" w:rsidRPr="00B55774" w:rsidRDefault="00FE40AE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3</w:t>
            </w:r>
          </w:p>
        </w:tc>
        <w:tc>
          <w:tcPr>
            <w:tcW w:w="1136" w:type="dxa"/>
          </w:tcPr>
          <w:p w14:paraId="07D67666" w14:textId="3294AD46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7-azaindole with piperazine</w:t>
            </w:r>
          </w:p>
        </w:tc>
        <w:tc>
          <w:tcPr>
            <w:tcW w:w="3685" w:type="dxa"/>
          </w:tcPr>
          <w:p w14:paraId="4988DFED" w14:textId="7A2FD398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Phenyl–alkyl linker</w:t>
            </w:r>
          </w:p>
        </w:tc>
        <w:tc>
          <w:tcPr>
            <w:tcW w:w="1701" w:type="dxa"/>
          </w:tcPr>
          <w:p w14:paraId="23035BC5" w14:textId="293886A7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CRBN binder (glutarimide core)</w:t>
            </w:r>
          </w:p>
        </w:tc>
        <w:tc>
          <w:tcPr>
            <w:tcW w:w="2835" w:type="dxa"/>
          </w:tcPr>
          <w:p w14:paraId="594411D4" w14:textId="220E739E" w:rsidR="00FE40AE" w:rsidRPr="00B55774" w:rsidRDefault="00C41631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Approx 3.1</w:t>
            </w:r>
          </w:p>
        </w:tc>
        <w:tc>
          <w:tcPr>
            <w:tcW w:w="4395" w:type="dxa"/>
          </w:tcPr>
          <w:p w14:paraId="059DF6DC" w14:textId="77777777" w:rsidR="00520227" w:rsidRDefault="00520227" w:rsidP="0052022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Azaindole and piperazine are common in kinase inhibitors; hydrophobic linker enhances cell permeability; known CRBN anchor provides reliable degradation potential.</w:t>
            </w:r>
          </w:p>
          <w:p w14:paraId="52E451C8" w14:textId="2FD041EC" w:rsidR="00FE40AE" w:rsidRPr="00B55774" w:rsidRDefault="00FE40AE" w:rsidP="00FE40AE">
            <w:pPr>
              <w:rPr>
                <w:rFonts w:ascii="Aptos" w:hAnsi="Aptos"/>
                <w:sz w:val="23"/>
                <w:szCs w:val="23"/>
              </w:rPr>
            </w:pPr>
          </w:p>
        </w:tc>
      </w:tr>
      <w:tr w:rsidR="00FE40AE" w:rsidRPr="00B55774" w14:paraId="18455B18" w14:textId="77777777" w:rsidTr="00FE40AE">
        <w:tc>
          <w:tcPr>
            <w:tcW w:w="1338" w:type="dxa"/>
          </w:tcPr>
          <w:p w14:paraId="458B36B5" w14:textId="752E7101" w:rsidR="00FE40AE" w:rsidRPr="00B55774" w:rsidRDefault="00FE40AE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4</w:t>
            </w:r>
          </w:p>
        </w:tc>
        <w:tc>
          <w:tcPr>
            <w:tcW w:w="1136" w:type="dxa"/>
          </w:tcPr>
          <w:p w14:paraId="70E79566" w14:textId="6261E54D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7-azaindole with piperazine</w:t>
            </w:r>
          </w:p>
        </w:tc>
        <w:tc>
          <w:tcPr>
            <w:tcW w:w="3685" w:type="dxa"/>
          </w:tcPr>
          <w:p w14:paraId="7F5B4B4F" w14:textId="6652180A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Triazole-ether linker</w:t>
            </w:r>
          </w:p>
        </w:tc>
        <w:tc>
          <w:tcPr>
            <w:tcW w:w="1701" w:type="dxa"/>
          </w:tcPr>
          <w:p w14:paraId="6C650D0F" w14:textId="255676A7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Glutarimide anchor (CRBN)</w:t>
            </w:r>
          </w:p>
        </w:tc>
        <w:tc>
          <w:tcPr>
            <w:tcW w:w="2835" w:type="dxa"/>
          </w:tcPr>
          <w:p w14:paraId="23089D60" w14:textId="4D280E4B" w:rsidR="00FE40AE" w:rsidRPr="00B55774" w:rsidRDefault="00C41631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Approx 4.8</w:t>
            </w:r>
          </w:p>
        </w:tc>
        <w:tc>
          <w:tcPr>
            <w:tcW w:w="4395" w:type="dxa"/>
          </w:tcPr>
          <w:p w14:paraId="64785C64" w14:textId="77777777" w:rsidR="00520227" w:rsidRDefault="00520227" w:rsidP="0052022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Warhead resembles selective kinase scaffolds with polar functionalities; rigid linker may enhance selectivity; glutarimide anchor ensures CRBN recruitment.</w:t>
            </w:r>
          </w:p>
          <w:p w14:paraId="7BB2DFEC" w14:textId="637DB82C" w:rsidR="00FE40AE" w:rsidRPr="00B55774" w:rsidRDefault="00FE40AE" w:rsidP="00FE40AE">
            <w:pPr>
              <w:rPr>
                <w:rFonts w:ascii="Aptos" w:hAnsi="Aptos"/>
                <w:sz w:val="23"/>
                <w:szCs w:val="23"/>
              </w:rPr>
            </w:pPr>
          </w:p>
        </w:tc>
      </w:tr>
      <w:tr w:rsidR="00FE40AE" w:rsidRPr="00B55774" w14:paraId="368E12C8" w14:textId="77777777" w:rsidTr="00FE40AE">
        <w:tc>
          <w:tcPr>
            <w:tcW w:w="1338" w:type="dxa"/>
          </w:tcPr>
          <w:p w14:paraId="113AE5DF" w14:textId="11B22209" w:rsidR="00FE40AE" w:rsidRPr="00B55774" w:rsidRDefault="00FE40AE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 w:rsidRPr="00B55774">
              <w:rPr>
                <w:rFonts w:ascii="Aptos" w:hAnsi="Aptos"/>
                <w:sz w:val="23"/>
                <w:szCs w:val="23"/>
              </w:rPr>
              <w:t>5</w:t>
            </w:r>
          </w:p>
        </w:tc>
        <w:tc>
          <w:tcPr>
            <w:tcW w:w="1136" w:type="dxa"/>
          </w:tcPr>
          <w:p w14:paraId="135F67DD" w14:textId="5F2E5140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Aminopyrimidine–morpholine</w:t>
            </w:r>
          </w:p>
        </w:tc>
        <w:tc>
          <w:tcPr>
            <w:tcW w:w="3685" w:type="dxa"/>
          </w:tcPr>
          <w:p w14:paraId="4E20369E" w14:textId="1468874C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Piperazine + amide</w:t>
            </w:r>
          </w:p>
        </w:tc>
        <w:tc>
          <w:tcPr>
            <w:tcW w:w="1701" w:type="dxa"/>
          </w:tcPr>
          <w:p w14:paraId="44DC211E" w14:textId="7835907D" w:rsidR="00FE40AE" w:rsidRPr="00B55774" w:rsidRDefault="00520227" w:rsidP="00FE40AE">
            <w:pPr>
              <w:rPr>
                <w:rFonts w:ascii="Aptos" w:hAnsi="Aptos"/>
                <w:sz w:val="23"/>
                <w:szCs w:val="23"/>
              </w:rPr>
            </w:pPr>
            <w:r w:rsidRPr="00520227">
              <w:rPr>
                <w:rFonts w:ascii="Aptos" w:hAnsi="Aptos"/>
                <w:sz w:val="23"/>
                <w:szCs w:val="23"/>
              </w:rPr>
              <w:t>CRBN-binding glutarimide</w:t>
            </w:r>
          </w:p>
        </w:tc>
        <w:tc>
          <w:tcPr>
            <w:tcW w:w="2835" w:type="dxa"/>
          </w:tcPr>
          <w:p w14:paraId="7C0698AA" w14:textId="17EF33FB" w:rsidR="00FE40AE" w:rsidRPr="00B55774" w:rsidRDefault="00C41631" w:rsidP="00FE40AE">
            <w:pPr>
              <w:jc w:val="center"/>
              <w:rPr>
                <w:rFonts w:ascii="Aptos" w:hAnsi="Aptos"/>
                <w:sz w:val="23"/>
                <w:szCs w:val="23"/>
              </w:rPr>
            </w:pPr>
            <w:r>
              <w:rPr>
                <w:rFonts w:ascii="Aptos" w:hAnsi="Aptos"/>
                <w:sz w:val="23"/>
                <w:szCs w:val="23"/>
              </w:rPr>
              <w:t>Approx 3.8</w:t>
            </w:r>
          </w:p>
        </w:tc>
        <w:tc>
          <w:tcPr>
            <w:tcW w:w="4395" w:type="dxa"/>
          </w:tcPr>
          <w:p w14:paraId="748B2F28" w14:textId="77777777" w:rsidR="00520227" w:rsidRDefault="00520227" w:rsidP="0052022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Warhead includes CDK9-active moieties; linker provides H-bonding potential and conformational flexibility; anchor supports efficient ternary complex formation.</w:t>
            </w:r>
          </w:p>
          <w:p w14:paraId="4BEF4DF2" w14:textId="690F6E16" w:rsidR="00FE40AE" w:rsidRPr="00B55774" w:rsidRDefault="00FE40AE" w:rsidP="00FE40AE">
            <w:pPr>
              <w:rPr>
                <w:rFonts w:ascii="Aptos" w:hAnsi="Aptos"/>
                <w:sz w:val="23"/>
                <w:szCs w:val="23"/>
              </w:rPr>
            </w:pPr>
          </w:p>
        </w:tc>
      </w:tr>
    </w:tbl>
    <w:p w14:paraId="7C9BFB33" w14:textId="43BC88C5" w:rsidR="00552135" w:rsidRPr="00B55774" w:rsidRDefault="00552135">
      <w:pPr>
        <w:rPr>
          <w:rFonts w:ascii="Aptos" w:hAnsi="Aptos"/>
          <w:b/>
          <w:bCs/>
          <w:sz w:val="23"/>
          <w:szCs w:val="23"/>
        </w:rPr>
      </w:pPr>
      <w:r w:rsidRPr="00B55774">
        <w:rPr>
          <w:rFonts w:ascii="Aptos" w:hAnsi="Aptos"/>
          <w:sz w:val="23"/>
          <w:szCs w:val="23"/>
        </w:rPr>
        <w:br/>
      </w:r>
      <w:r w:rsidRPr="00B55774">
        <w:rPr>
          <w:rFonts w:ascii="Aptos" w:hAnsi="Aptos"/>
          <w:b/>
          <w:bCs/>
          <w:sz w:val="23"/>
          <w:szCs w:val="23"/>
        </w:rPr>
        <w:t xml:space="preserve">Please paste the chemical formula(e) of at least one </w:t>
      </w:r>
      <w:r w:rsidR="000F5D7F">
        <w:rPr>
          <w:rFonts w:ascii="Aptos" w:hAnsi="Aptos"/>
          <w:b/>
          <w:bCs/>
          <w:sz w:val="23"/>
          <w:szCs w:val="23"/>
        </w:rPr>
        <w:t xml:space="preserve">additional </w:t>
      </w:r>
      <w:r w:rsidRPr="00B55774">
        <w:rPr>
          <w:rFonts w:ascii="Aptos" w:hAnsi="Aptos"/>
          <w:b/>
          <w:bCs/>
          <w:sz w:val="23"/>
          <w:szCs w:val="23"/>
        </w:rPr>
        <w:t>PROTAC candidate below.</w:t>
      </w:r>
    </w:p>
    <w:p w14:paraId="33B18F62" w14:textId="417E49A5" w:rsidR="00B55774" w:rsidRPr="00B55774" w:rsidRDefault="00FE40AE">
      <w:pPr>
        <w:rPr>
          <w:rFonts w:ascii="Aptos" w:hAnsi="Aptos"/>
          <w:b/>
          <w:bCs/>
          <w:sz w:val="23"/>
          <w:szCs w:val="23"/>
        </w:rPr>
      </w:pPr>
      <w:r w:rsidRPr="00FE40AE">
        <w:rPr>
          <w:noProof/>
        </w:rPr>
        <w:t xml:space="preserve"> </w:t>
      </w:r>
    </w:p>
    <w:p w14:paraId="062E3F92" w14:textId="6E7F44B6" w:rsidR="00FE40AE" w:rsidRDefault="00FE40AE" w:rsidP="00520227">
      <w:pPr>
        <w:rPr>
          <w:rFonts w:ascii="Aptos" w:hAnsi="Aptos"/>
          <w:b/>
          <w:bCs/>
          <w:sz w:val="23"/>
          <w:szCs w:val="23"/>
        </w:rPr>
      </w:pPr>
    </w:p>
    <w:p w14:paraId="1B6A498F" w14:textId="729762F9" w:rsidR="0074688B" w:rsidRDefault="00C41631">
      <w:pPr>
        <w:rPr>
          <w:rFonts w:ascii="Aptos" w:hAnsi="Aptos"/>
          <w:b/>
          <w:bCs/>
          <w:sz w:val="23"/>
          <w:szCs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CD036" wp14:editId="156988D3">
                <wp:simplePos x="0" y="0"/>
                <wp:positionH relativeFrom="column">
                  <wp:posOffset>305012</wp:posOffset>
                </wp:positionH>
                <wp:positionV relativeFrom="paragraph">
                  <wp:posOffset>67804</wp:posOffset>
                </wp:positionV>
                <wp:extent cx="677333" cy="282222"/>
                <wp:effectExtent l="0" t="0" r="46990" b="8001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3" cy="2822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710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24pt;margin-top:5.35pt;width:53.3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" adj="10800" strokecolor="#156082 [3204]" strokeweight=".5pt">
                <v:stroke endarrow="block" joinstyle="miter"/>
              </v:shape>
            </w:pict>
          </mc:Fallback>
        </mc:AlternateContent>
      </w:r>
      <w:r w:rsidR="00520227">
        <w:rPr>
          <w:noProof/>
        </w:rPr>
        <w:t xml:space="preserve"> </w:t>
      </w:r>
      <w:r>
        <w:rPr>
          <w:noProof/>
        </w:rPr>
        <w:t>1</w:t>
      </w:r>
    </w:p>
    <w:p w14:paraId="5794B6D5" w14:textId="569142BE" w:rsidR="0074688B" w:rsidRDefault="00C41631">
      <w:pPr>
        <w:rPr>
          <w:rFonts w:ascii="Aptos" w:hAnsi="Aptos"/>
          <w:b/>
          <w:bCs/>
          <w:sz w:val="23"/>
          <w:szCs w:val="23"/>
        </w:rPr>
      </w:pPr>
      <w:r>
        <w:rPr>
          <w:rFonts w:ascii="Aptos" w:hAnsi="Aptos"/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47FF" wp14:editId="55DF97CC">
                <wp:simplePos x="0" y="0"/>
                <wp:positionH relativeFrom="column">
                  <wp:posOffset>8543925</wp:posOffset>
                </wp:positionH>
                <wp:positionV relativeFrom="paragraph">
                  <wp:posOffset>2334260</wp:posOffset>
                </wp:positionV>
                <wp:extent cx="146685" cy="518795"/>
                <wp:effectExtent l="38100" t="38100" r="24765" b="3365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" cy="5187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E653" id="Curved Connector 1" o:spid="_x0000_s1026" type="#_x0000_t38" style="position:absolute;margin-left:672.75pt;margin-top:183.8pt;width:11.55pt;height:40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" adj="10800" strokecolor="#156082 [3204]" strokeweight=".5pt">
                <v:stroke endarrow="block" joinstyle="miter"/>
              </v:shape>
            </w:pict>
          </mc:Fallback>
        </mc:AlternateContent>
      </w:r>
      <w:r w:rsidR="0074688B">
        <w:rPr>
          <w:rFonts w:ascii="Aptos" w:hAnsi="Aptos"/>
          <w:b/>
          <w:bCs/>
          <w:noProof/>
          <w:sz w:val="23"/>
          <w:szCs w:val="23"/>
          <w:lang w:val="en-US"/>
        </w:rPr>
        <w:drawing>
          <wp:inline distT="0" distB="0" distL="0" distR="0" wp14:anchorId="56C6304B" wp14:editId="0666890E">
            <wp:extent cx="3828143" cy="2482111"/>
            <wp:effectExtent l="152400" t="152400" r="363220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vin_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21" cy="2495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50042">
        <w:rPr>
          <w:rFonts w:ascii="Aptos" w:hAnsi="Aptos"/>
          <w:b/>
          <w:bCs/>
          <w:noProof/>
          <w:sz w:val="23"/>
          <w:szCs w:val="23"/>
          <w:lang w:val="en-US"/>
        </w:rPr>
        <w:drawing>
          <wp:inline distT="0" distB="0" distL="0" distR="0" wp14:anchorId="082A1CCB" wp14:editId="0900A5E6">
            <wp:extent cx="3896995" cy="2548328"/>
            <wp:effectExtent l="152400" t="152400" r="370205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vin_imag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83" cy="2594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3"/>
          <w:szCs w:val="23"/>
        </w:rPr>
        <w:t>3</w:t>
      </w:r>
    </w:p>
    <w:p w14:paraId="7F36F8F2" w14:textId="790AE4EC" w:rsidR="0074688B" w:rsidRDefault="0074688B">
      <w:pPr>
        <w:rPr>
          <w:rFonts w:ascii="Aptos" w:hAnsi="Aptos"/>
          <w:b/>
          <w:bCs/>
          <w:sz w:val="23"/>
          <w:szCs w:val="23"/>
        </w:rPr>
      </w:pPr>
    </w:p>
    <w:p w14:paraId="7AF94782" w14:textId="10453BC3" w:rsidR="0074688B" w:rsidRDefault="00C41631">
      <w:pPr>
        <w:rPr>
          <w:rFonts w:ascii="Aptos" w:hAnsi="Aptos"/>
          <w:b/>
          <w:bCs/>
          <w:sz w:val="23"/>
          <w:szCs w:val="23"/>
        </w:rPr>
      </w:pPr>
      <w:r>
        <w:rPr>
          <w:rFonts w:ascii="Aptos" w:hAnsi="Aptos"/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26AC0" wp14:editId="4D1BC0D7">
                <wp:simplePos x="0" y="0"/>
                <wp:positionH relativeFrom="column">
                  <wp:posOffset>214701</wp:posOffset>
                </wp:positionH>
                <wp:positionV relativeFrom="paragraph">
                  <wp:posOffset>45226</wp:posOffset>
                </wp:positionV>
                <wp:extent cx="440266" cy="237067"/>
                <wp:effectExtent l="0" t="0" r="55245" b="8699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6" cy="2370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11DB" id="Curved Connector 4" o:spid="_x0000_s1026" type="#_x0000_t38" style="position:absolute;margin-left:16.9pt;margin-top:3.55pt;width:34.6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b/>
          <w:bCs/>
          <w:sz w:val="23"/>
          <w:szCs w:val="23"/>
        </w:rPr>
        <w:t>2</w:t>
      </w:r>
    </w:p>
    <w:p w14:paraId="4CE37D9F" w14:textId="1E5073FB" w:rsidR="000F5D7F" w:rsidRDefault="00C41631" w:rsidP="00F4380E">
      <w:pPr>
        <w:tabs>
          <w:tab w:val="right" w:pos="7430"/>
        </w:tabs>
        <w:rPr>
          <w:rFonts w:ascii="Aptos" w:hAnsi="Aptos"/>
          <w:b/>
          <w:bCs/>
          <w:sz w:val="23"/>
          <w:szCs w:val="23"/>
        </w:rPr>
      </w:pPr>
      <w:r>
        <w:rPr>
          <w:rFonts w:ascii="Aptos" w:hAnsi="Aptos"/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DC9CF" wp14:editId="778E0486">
                <wp:simplePos x="0" y="0"/>
                <wp:positionH relativeFrom="column">
                  <wp:posOffset>9228455</wp:posOffset>
                </wp:positionH>
                <wp:positionV relativeFrom="paragraph">
                  <wp:posOffset>2637790</wp:posOffset>
                </wp:positionV>
                <wp:extent cx="236855" cy="270510"/>
                <wp:effectExtent l="38100" t="38100" r="10795" b="3429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2705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CAAE1" id="Curved Connector 3" o:spid="_x0000_s1026" type="#_x0000_t38" style="position:absolute;margin-left:726.65pt;margin-top:207.7pt;width:18.65pt;height:21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" adj="10800" strokecolor="#156082 [3204]" strokeweight=".5pt">
                <v:stroke endarrow="block" joinstyle="miter"/>
              </v:shape>
            </w:pict>
          </mc:Fallback>
        </mc:AlternateContent>
      </w:r>
      <w:r w:rsidR="0074688B">
        <w:rPr>
          <w:rFonts w:ascii="Aptos" w:hAnsi="Aptos"/>
          <w:b/>
          <w:bCs/>
          <w:noProof/>
          <w:sz w:val="23"/>
          <w:szCs w:val="23"/>
          <w:lang w:val="en-US"/>
        </w:rPr>
        <w:drawing>
          <wp:inline distT="0" distB="0" distL="0" distR="0" wp14:anchorId="5F466368" wp14:editId="40DDA94E">
            <wp:extent cx="3147695" cy="2482746"/>
            <wp:effectExtent l="152400" t="152400" r="357505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vin_image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19" cy="2494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4380E">
        <w:rPr>
          <w:rFonts w:ascii="Aptos" w:hAnsi="Aptos"/>
          <w:b/>
          <w:bCs/>
          <w:sz w:val="23"/>
          <w:szCs w:val="23"/>
        </w:rPr>
        <w:tab/>
      </w:r>
      <w:r w:rsidR="00F4380E">
        <w:rPr>
          <w:rFonts w:ascii="Aptos" w:hAnsi="Aptos"/>
          <w:b/>
          <w:bCs/>
          <w:sz w:val="23"/>
          <w:szCs w:val="23"/>
        </w:rPr>
        <w:tab/>
      </w:r>
      <w:r w:rsidR="00F4380E">
        <w:rPr>
          <w:rFonts w:ascii="Aptos" w:hAnsi="Aptos"/>
          <w:b/>
          <w:bCs/>
          <w:sz w:val="23"/>
          <w:szCs w:val="23"/>
        </w:rPr>
        <w:tab/>
      </w:r>
      <w:r w:rsidR="00150042">
        <w:rPr>
          <w:rFonts w:ascii="Aptos" w:hAnsi="Aptos"/>
          <w:b/>
          <w:bCs/>
          <w:noProof/>
          <w:sz w:val="23"/>
          <w:szCs w:val="23"/>
          <w:lang w:val="en-US"/>
        </w:rPr>
        <w:drawing>
          <wp:inline distT="0" distB="0" distL="0" distR="0" wp14:anchorId="4DE66C9A" wp14:editId="69BD9850">
            <wp:extent cx="3382137" cy="2533015"/>
            <wp:effectExtent l="152400" t="152400" r="370840" b="3625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vin_image (3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7" t="465" r="21304" b="14883"/>
                    <a:stretch/>
                  </pic:blipFill>
                  <pic:spPr bwMode="auto">
                    <a:xfrm>
                      <a:off x="0" y="0"/>
                      <a:ext cx="3538907" cy="265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3"/>
          <w:szCs w:val="23"/>
        </w:rPr>
        <w:t xml:space="preserve">    4</w:t>
      </w:r>
    </w:p>
    <w:p w14:paraId="007AA78F" w14:textId="3FEBD20A" w:rsidR="000F5D7F" w:rsidRDefault="00C41631">
      <w:pPr>
        <w:rPr>
          <w:rFonts w:ascii="Aptos" w:hAnsi="Aptos"/>
          <w:b/>
          <w:bCs/>
          <w:sz w:val="23"/>
          <w:szCs w:val="23"/>
        </w:rPr>
      </w:pPr>
      <w:r>
        <w:rPr>
          <w:rFonts w:ascii="Aptos" w:hAnsi="Aptos"/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5A2B9" wp14:editId="69026603">
                <wp:simplePos x="0" y="0"/>
                <wp:positionH relativeFrom="column">
                  <wp:posOffset>3515360</wp:posOffset>
                </wp:positionH>
                <wp:positionV relativeFrom="paragraph">
                  <wp:posOffset>2371090</wp:posOffset>
                </wp:positionV>
                <wp:extent cx="259080" cy="248285"/>
                <wp:effectExtent l="38100" t="38100" r="26670" b="3746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482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C0A3" id="Curved Connector 16" o:spid="_x0000_s1026" type="#_x0000_t38" style="position:absolute;margin-left:276.8pt;margin-top:186.7pt;width:20.4pt;height:19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" adj="10800" strokecolor="#156082 [3204]" strokeweight=".5pt">
                <v:stroke endarrow="block" joinstyle="miter"/>
              </v:shape>
            </w:pict>
          </mc:Fallback>
        </mc:AlternateContent>
      </w:r>
      <w:r w:rsidR="00150042">
        <w:rPr>
          <w:rFonts w:ascii="Aptos" w:hAnsi="Aptos"/>
          <w:b/>
          <w:bCs/>
          <w:noProof/>
          <w:sz w:val="23"/>
          <w:szCs w:val="23"/>
          <w:lang w:val="en-US"/>
        </w:rPr>
        <w:drawing>
          <wp:inline distT="0" distB="0" distL="0" distR="0" wp14:anchorId="231992A5" wp14:editId="6C7CA27D">
            <wp:extent cx="3267065" cy="2323475"/>
            <wp:effectExtent l="152400" t="152400" r="353060" b="362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vin_image 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62" cy="2384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3"/>
          <w:szCs w:val="23"/>
        </w:rPr>
        <w:t>5</w:t>
      </w:r>
      <w:bookmarkStart w:id="0" w:name="_GoBack"/>
      <w:bookmarkEnd w:id="0"/>
    </w:p>
    <w:p w14:paraId="0C26F89D" w14:textId="316BAECC" w:rsidR="000F5D7F" w:rsidRDefault="000F5D7F">
      <w:pPr>
        <w:rPr>
          <w:rFonts w:ascii="Aptos" w:hAnsi="Aptos"/>
          <w:b/>
          <w:bCs/>
          <w:sz w:val="23"/>
          <w:szCs w:val="23"/>
        </w:rPr>
      </w:pPr>
    </w:p>
    <w:sectPr w:rsidR="000F5D7F" w:rsidSect="00150042">
      <w:headerReference w:type="default" r:id="rId13"/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9D5F0" w14:textId="77777777" w:rsidR="003A1130" w:rsidRDefault="003A1130" w:rsidP="00552135">
      <w:r>
        <w:separator/>
      </w:r>
    </w:p>
  </w:endnote>
  <w:endnote w:type="continuationSeparator" w:id="0">
    <w:p w14:paraId="665C34B3" w14:textId="77777777" w:rsidR="003A1130" w:rsidRDefault="003A1130" w:rsidP="0055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FA7F7" w14:textId="77777777" w:rsidR="003A1130" w:rsidRDefault="003A1130" w:rsidP="00552135">
      <w:r>
        <w:separator/>
      </w:r>
    </w:p>
  </w:footnote>
  <w:footnote w:type="continuationSeparator" w:id="0">
    <w:p w14:paraId="4C1AD845" w14:textId="77777777" w:rsidR="003A1130" w:rsidRDefault="003A1130" w:rsidP="00552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1F0E" w14:textId="77777777" w:rsidR="00FE40AE" w:rsidRDefault="00FE40AE" w:rsidP="00FE40AE">
    <w:pPr>
      <w:rPr>
        <w:b/>
        <w:bCs/>
      </w:rPr>
    </w:pPr>
    <w:r>
      <w:rPr>
        <w:b/>
        <w:bCs/>
      </w:rPr>
      <w:t xml:space="preserve">Task 1: </w:t>
    </w:r>
    <w:r w:rsidRPr="00552135">
      <w:rPr>
        <w:b/>
        <w:bCs/>
      </w:rPr>
      <w:t xml:space="preserve">Design </w:t>
    </w:r>
    <w:r>
      <w:rPr>
        <w:b/>
        <w:bCs/>
      </w:rPr>
      <w:t>five</w:t>
    </w:r>
    <w:r w:rsidRPr="00552135">
      <w:rPr>
        <w:b/>
        <w:bCs/>
      </w:rPr>
      <w:t xml:space="preserve"> PROTAC candidates targeting CDK9</w:t>
    </w:r>
    <w:r>
      <w:rPr>
        <w:b/>
        <w:bCs/>
      </w:rPr>
      <w:t xml:space="preserve"> for further testing (see p. 2 for tips &amp; hints)</w:t>
    </w:r>
  </w:p>
  <w:p w14:paraId="6072F25E" w14:textId="77777777" w:rsidR="00FE40AE" w:rsidRDefault="00FE4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1EED"/>
    <w:multiLevelType w:val="hybridMultilevel"/>
    <w:tmpl w:val="2132F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B6248"/>
    <w:multiLevelType w:val="hybridMultilevel"/>
    <w:tmpl w:val="7E1C6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5"/>
    <w:rsid w:val="00056797"/>
    <w:rsid w:val="00062BD8"/>
    <w:rsid w:val="000F5D7F"/>
    <w:rsid w:val="00115A7E"/>
    <w:rsid w:val="00150042"/>
    <w:rsid w:val="001608B6"/>
    <w:rsid w:val="001B48EF"/>
    <w:rsid w:val="001D08A7"/>
    <w:rsid w:val="00287BCF"/>
    <w:rsid w:val="002E6478"/>
    <w:rsid w:val="002F24C5"/>
    <w:rsid w:val="003A1130"/>
    <w:rsid w:val="004D08A2"/>
    <w:rsid w:val="005107B2"/>
    <w:rsid w:val="00520227"/>
    <w:rsid w:val="005208EA"/>
    <w:rsid w:val="00552135"/>
    <w:rsid w:val="00591C64"/>
    <w:rsid w:val="0063123F"/>
    <w:rsid w:val="0074688B"/>
    <w:rsid w:val="00751E91"/>
    <w:rsid w:val="007956AA"/>
    <w:rsid w:val="00900541"/>
    <w:rsid w:val="009C296F"/>
    <w:rsid w:val="00AB6A94"/>
    <w:rsid w:val="00B20DAC"/>
    <w:rsid w:val="00B55774"/>
    <w:rsid w:val="00B966D9"/>
    <w:rsid w:val="00BB654F"/>
    <w:rsid w:val="00C41631"/>
    <w:rsid w:val="00C74AFA"/>
    <w:rsid w:val="00CA7F52"/>
    <w:rsid w:val="00CE131D"/>
    <w:rsid w:val="00D2384A"/>
    <w:rsid w:val="00D604A0"/>
    <w:rsid w:val="00DA20F5"/>
    <w:rsid w:val="00DC2490"/>
    <w:rsid w:val="00F01B1A"/>
    <w:rsid w:val="00F42797"/>
    <w:rsid w:val="00F4380E"/>
    <w:rsid w:val="00F85570"/>
    <w:rsid w:val="00F93042"/>
    <w:rsid w:val="00FD57CC"/>
    <w:rsid w:val="00FE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A1A6"/>
  <w15:chartTrackingRefBased/>
  <w15:docId w15:val="{E9497BF8-CD07-F345-9F45-79AFA45D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135"/>
  </w:style>
  <w:style w:type="paragraph" w:styleId="Footer">
    <w:name w:val="footer"/>
    <w:basedOn w:val="Normal"/>
    <w:link w:val="FooterChar"/>
    <w:uiPriority w:val="99"/>
    <w:unhideWhenUsed/>
    <w:rsid w:val="00552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135"/>
  </w:style>
  <w:style w:type="character" w:styleId="Hyperlink">
    <w:name w:val="Hyperlink"/>
    <w:basedOn w:val="DefaultParagraphFont"/>
    <w:uiPriority w:val="99"/>
    <w:unhideWhenUsed/>
    <w:rsid w:val="0055213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21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2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EEFE-C900-4B07-9802-767561FD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8</cp:revision>
  <dcterms:created xsi:type="dcterms:W3CDTF">2025-04-03T22:36:00Z</dcterms:created>
  <dcterms:modified xsi:type="dcterms:W3CDTF">2025-04-20T08:56:00Z</dcterms:modified>
  <cp:category/>
</cp:coreProperties>
</file>