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d8d5fb0913574ac0" /><Relationship Type="http://schemas.openxmlformats.org/package/2006/relationships/metadata/core-properties" Target="/docProps/core.xml" Id="R79d3c72881874744" /><Relationship Type="http://schemas.openxmlformats.org/officeDocument/2006/relationships/extended-properties" Target="/docProps/app.xml" Id="Rc86dae8d6b264d69" /><Relationship Type="http://schemas.openxmlformats.org/officeDocument/2006/relationships/custom-properties" Target="/docProps/custom.xml" Id="R2297b185a98742ec"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spacing w:after="200"/>
        <w:jc w:val="center"/>
      </w:pPr>
      <w:r>
        <w:rPr>
          <w:b/>
          <w:sz w:val="40"/>
        </w:rPr>
        <w:t xml:space="preserve">Monthly Spending Data Analysis - Project Report (2020-2025)</w:t>
      </w:r>
    </w:p>
    <w:p w14:paraId="00100002" w14:textId="00100003">
      <w:pPr>
        <w:spacing w:after="80"/>
        <w:jc w:val="center"/>
      </w:pPr>
      <w:r>
        <w:rPr>
          <w:color w:val="57606A"/>
          <w:sz w:val="22"/>
        </w:rPr>
        <w:t xml:space="preserve">Python | Pandas | Matplotlib | Seaborn | Streamlit | Scipy</w:t>
      </w:r>
    </w:p>
    <w:p w14:paraId="00100004" w14:textId="00100005">
      <w:pPr>
        <w:spacing w:after="320"/>
        <w:jc w:val="center"/>
      </w:pPr>
      <w:r>
        <w:rPr>
          <w:color w:val="57606A"/>
          <w:sz w:val="20"/>
        </w:rPr>
        <w:t xml:space="preserve">Dataset: monthly_spending_dataset_2020_2025.csv   |   Period: January 2020 to September 2025</w:t>
      </w:r>
    </w:p>
    <w:p w14:paraId="00100006" w14:textId="00100007">
      <w:pPr>
        <w:pStyle w:val="Heading1"/>
        <w:spacing w:before="200" w:after="120"/>
      </w:pPr>
      <w:r>
        <w:rPr>
          <w:b/>
          <w:sz w:val="32"/>
        </w:rPr>
        <w:t xml:space="preserve">1. Project Overview</w:t>
      </w:r>
    </w:p>
    <w:p w14:paraId="00100008" w14:textId="00100009">
      <w:pPr>
        <w:spacing w:after="160"/>
      </w:pPr>
      <w:r>
        <w:rPr>
          <w:sz w:val="22"/>
        </w:rPr>
        <w:t xml:space="preserve">This project performs an end-to-end data analysis of monthly personal spending from January 2020 to September 2025. The analysis covers 69 months of financial data across 11 spending categories, examining patterns, trends, anomalies, and key financial health indicators. Deliverables include a Jupyter Notebook for exploratory data analysis and an interactive Streamlit dashboard for visualization and insights.</w:t>
      </w:r>
    </w:p>
    <w:p w14:paraId="0010000A" w14:textId="0010000B">
      <w:pPr>
        <w:pStyle w:val="Heading1"/>
        <w:spacing w:before="200" w:after="120"/>
      </w:pPr>
      <w:r>
        <w:rPr>
          <w:b/>
          <w:sz w:val="32"/>
        </w:rPr>
        <w:t xml:space="preserve">2. Dataset Description</w:t>
      </w:r>
    </w:p>
    <w:p w14:paraId="0010000C" w14:textId="0010000D">
      <w:pPr>
        <w:spacing w:after="80"/>
      </w:pPr>
      <w:r>
        <w:rPr>
          <w:b/>
          <w:sz w:val="22"/>
        </w:rPr>
        <w:t xml:space="preserve">File: monthly_spending_dataset_2020_2025.csv | Rows: 69 | Columns: 13</w:t>
      </w:r>
    </w:p>
    <w:p w14:paraId="0010000E" w14:textId="0010000F">
      <w:pPr>
        <w:spacing w:after="160"/>
      </w:pPr>
      <w:r>
        <w:rPr>
          <w:sz w:val="22"/>
        </w:rPr>
        <w:t xml:space="preserve">The dataset records monthly spending across 11 categories plus Total Expenditure and Income. Categories: Groceries, Rent, Transportation, Gym, Utilities, Healthcare, Investments, Savings, EMI/Loans (active 2024), Dining &amp; Entertainment, Shopping &amp; Wants.</w:t>
      </w:r>
    </w:p>
    <w:p w14:paraId="00100010" w14:textId="00100011">
      <w:pPr>
        <w:pStyle w:val="Heading1"/>
        <w:spacing w:before="200" w:after="120"/>
      </w:pPr>
      <w:r>
        <w:rPr>
          <w:b/>
          <w:sz w:val="32"/>
        </w:rPr>
        <w:t xml:space="preserve">3. Data Quality Check Results</w:t>
      </w:r>
    </w:p>
    <w:p w14:paraId="00100012" w14:textId="00100013">
      <w:pPr>
        <w:spacing w:after="160"/>
      </w:pPr>
      <w:r>
        <w:rPr>
          <w:sz w:val="22"/>
        </w:rPr>
        <w:t xml:space="preserve">Missing Values: None found across all 69 rows and 13 columns. Duplicate Rows: None detected. Negative Values: All values are non-negative. Total Validation: Recalculated category sums match the provided Total Expenditure column for every single row — data integrity confirmed.</w:t>
      </w:r>
    </w:p>
    <w:p w14:paraId="00100014" w14:textId="00100015">
      <w:pPr>
        <w:pStyle w:val="Heading1"/>
        <w:spacing w:before="200" w:after="120"/>
      </w:pPr>
      <w:r>
        <w:rPr>
          <w:b/>
          <w:sz w:val="32"/>
        </w:rPr>
        <w:t xml:space="preserve">4. Feature Engineering</w:t>
      </w:r>
    </w:p>
    <w:p w14:paraId="00100016" w14:textId="00100017">
      <w:pPr>
        <w:spacing w:after="60"/>
      </w:pPr>
      <w:r>
        <w:rPr>
          <w:sz w:val="22"/>
        </w:rPr>
        <w:t xml:space="preserve">Savings Rate (%) = Savings / Income x 100. Measures the proportion of income saved monthly.</w:t>
      </w:r>
    </w:p>
    <w:p w14:paraId="00100018" w14:textId="00100019">
      <w:pPr>
        <w:spacing w:after="60"/>
      </w:pPr>
      <w:r>
        <w:rPr>
          <w:sz w:val="22"/>
        </w:rPr>
        <w:t xml:space="preserve">Discretionary = Dining &amp; Entertainment + Shopping &amp; Wants. Captures non-essential wants.</w:t>
      </w:r>
    </w:p>
    <w:p w14:paraId="0010001A" w14:textId="0010001B">
      <w:pPr>
        <w:spacing w:after="60"/>
      </w:pPr>
      <w:r>
        <w:rPr>
          <w:sz w:val="22"/>
        </w:rPr>
        <w:t xml:space="preserve">Essential = Groceries + Rent + Transportation + Utilities + Healthcare + EMI/Loans. Fixed and necessary costs.</w:t>
      </w:r>
    </w:p>
    <w:p w14:paraId="0010001C" w14:textId="0010001D">
      <w:pPr>
        <w:spacing w:after="60"/>
      </w:pPr>
      <w:r>
        <w:rPr>
          <w:sz w:val="22"/>
        </w:rPr>
        <w:t xml:space="preserve">Investment + Savings = Combined wealth-building metric.</w:t>
      </w:r>
    </w:p>
    <w:p w14:paraId="0010001E" w14:textId="0010001F">
      <w:pPr>
        <w:spacing w:after="60"/>
      </w:pPr>
      <w:r>
        <w:rPr>
          <w:sz w:val="22"/>
        </w:rPr>
        <w:t xml:space="preserve">Surplus = Income - Total Expenditure. Monthly budget surplus or deficit.</w:t>
      </w:r>
    </w:p>
    <w:p w14:paraId="00100020" w14:textId="00100021">
      <w:pPr>
        <w:spacing w:after="60"/>
      </w:pPr>
      <w:r>
        <w:rPr>
          <w:sz w:val="22"/>
        </w:rPr>
        <w:t xml:space="preserve">Z-Score = Absolute Z-score of Total Expenditure. Used to flag anomalous months (threshold 1.5).</w:t>
      </w:r>
    </w:p>
    <w:p w14:paraId="00100022" w14:textId="00100023">
      <w:pPr>
        <w:spacing w:after="160"/>
      </w:pPr>
      <w:r>
        <w:rPr>
          <w:sz w:val="22"/>
        </w:rPr>
        <w:t xml:space="preserve">Rolling Averages = 3-month and 6-month rolling means of Total Expenditure for trend smoothing.</w:t>
      </w:r>
    </w:p>
    <w:p w14:paraId="00100024" w14:textId="00100025">
      <w:pPr>
        <w:pStyle w:val="Heading1"/>
        <w:spacing w:before="200" w:after="120"/>
      </w:pPr>
      <w:r>
        <w:rPr>
          <w:b/>
          <w:sz w:val="32"/>
        </w:rPr>
        <w:t xml:space="preserve">5. Category-Level Analysis</w:t>
      </w:r>
    </w:p>
    <w:p w14:paraId="00100026" w14:textId="00100027">
      <w:pPr>
        <w:spacing w:after="80"/>
      </w:pPr>
      <w:r>
        <w:rPr>
          <w:sz w:val="22"/>
        </w:rPr>
        <w:t xml:space="preserve">Highest Spending Category (All-Time): Rent — fixed at Rs 10,000/month (2020-2022) rising to Rs 13,000/month (2023 onwards), total approximately Rs 7,80,000 over 69 months.</w:t>
      </w:r>
    </w:p>
    <w:p w14:paraId="00100028" w14:textId="00100029">
      <w:pPr>
        <w:spacing w:after="80"/>
      </w:pPr>
      <w:r>
        <w:rPr>
          <w:sz w:val="22"/>
        </w:rPr>
        <w:t xml:space="preserve">Highest Variable Category: Savings — average Rs 7,500-12,000/month, growing consistently year over year. Investments average Rs 5,000-9,500/month, also growing strongly.</w:t>
      </w:r>
    </w:p>
    <w:p w14:paraId="0010002A" w14:textId="0010002B">
      <w:pPr>
        <w:spacing w:after="80"/>
      </w:pPr>
      <w:r>
        <w:rPr>
          <w:sz w:val="22"/>
        </w:rPr>
        <w:t xml:space="preserve">Lowest Category: Gym — Rs 700-1,200/month throughout, a small and consistent lifestyle cost.</w:t>
      </w:r>
    </w:p>
    <w:p w14:paraId="0010002C" w14:textId="0010002D">
      <w:pPr>
        <w:spacing w:after="160"/>
      </w:pPr>
      <w:r>
        <w:rPr>
          <w:sz w:val="22"/>
        </w:rPr>
        <w:t xml:space="preserve">Category by Total (Approximate): Rent Rs 7.8L, Savings Rs 6.0L, Investments Rs 4.65L, Groceries Rs 4.2L, Dining &amp; Ent Rs 1.9L, Transportation Rs 1.8L, Utilities Rs 1.3L, Healthcare Rs 1.3L, Shopping Rs 1.3L, EMI Rs 0.72L, Gym Rs 0.65L.</w:t>
      </w:r>
    </w:p>
    <w:p w14:paraId="0010002E" w14:textId="0010002F">
      <w:pPr>
        <w:pStyle w:val="Heading1"/>
        <w:spacing w:before="200" w:after="120"/>
      </w:pPr>
      <w:r>
        <w:rPr>
          <w:b/>
          <w:sz w:val="32"/>
        </w:rPr>
        <w:t xml:space="preserve">6. Monthly and Yearly Trends</w:t>
      </w:r>
    </w:p>
    <w:p w14:paraId="00100030" w14:textId="00100031">
      <w:pPr>
        <w:spacing w:after="80"/>
      </w:pPr>
      <w:r>
        <w:rPr>
          <w:sz w:val="22"/>
        </w:rPr>
        <w:t xml:space="preserve">Monthly expenditure rose consistently from Rs 28,000-34,000 in 2020 to Rs 39,000-49,000 in 2024-2025. Income grew from Rs 36,000-40,000 in 2020 to Rs 64,000 from 2024 onwards. The monthly surplus remained positive throughout all 69 months — no deficit was ever recorded.</w:t>
      </w:r>
    </w:p>
    <w:p w14:paraId="00100032" w14:textId="00100033">
      <w:pPr>
        <w:spacing w:after="60"/>
      </w:pPr>
      <w:r>
        <w:rPr>
          <w:sz w:val="22"/>
        </w:rPr>
        <w:t xml:space="preserve">2020: Average monthly expenditure Rs 31,900. EMI not yet active. Lowest spending year.</w:t>
      </w:r>
    </w:p>
    <w:p w14:paraId="00100034" w14:textId="00100035">
      <w:pPr>
        <w:spacing w:after="60"/>
      </w:pPr>
      <w:r>
        <w:rPr>
          <w:sz w:val="22"/>
        </w:rPr>
        <w:t xml:space="preserve">2021-2022: Gradual increase in Investments and Savings as income rose to Rs 43,200 then Rs 48,000.</w:t>
      </w:r>
    </w:p>
    <w:p w14:paraId="00100036" w14:textId="00100037">
      <w:pPr>
        <w:spacing w:after="60"/>
      </w:pPr>
      <w:r>
        <w:rPr>
          <w:sz w:val="22"/>
        </w:rPr>
        <w:t xml:space="preserve">2023: Rent increased to Rs 13,000/month. Healthcare rose noticeably in November and December.</w:t>
      </w:r>
    </w:p>
    <w:p w14:paraId="00100038" w14:textId="00100039">
      <w:pPr>
        <w:spacing w:after="60"/>
      </w:pPr>
      <w:r>
        <w:rPr>
          <w:sz w:val="22"/>
        </w:rPr>
        <w:t xml:space="preserve">2024: EMI of Rs 6,000/month began in January. Average monthly expenditure reached Rs 47,000. Income grew to Rs 64,000.</w:t>
      </w:r>
    </w:p>
    <w:p w14:paraId="0010003A" w14:textId="0010003B">
      <w:pPr>
        <w:spacing w:after="160"/>
      </w:pPr>
      <w:r>
        <w:rPr>
          <w:sz w:val="22"/>
        </w:rPr>
        <w:t xml:space="preserve">2025: EMI payments stopped from February. Average monthly expenditure moderated to Rs 40,500.</w:t>
      </w:r>
    </w:p>
    <w:p w14:paraId="0010003C" w14:textId="0010003D">
      <w:pPr>
        <w:pStyle w:val="Heading1"/>
        <w:spacing w:before="200" w:after="120"/>
      </w:pPr>
      <w:r>
        <w:rPr>
          <w:b/>
          <w:sz w:val="32"/>
        </w:rPr>
        <w:t xml:space="preserve">7. Spending Patterns and Anomaly Detection</w:t>
      </w:r>
    </w:p>
    <w:p w14:paraId="0010003E" w14:textId="0010003F">
      <w:pPr>
        <w:spacing w:after="160"/>
      </w:pPr>
      <w:r>
        <w:rPr>
          <w:sz w:val="22"/>
        </w:rPr>
        <w:t xml:space="preserve">Using Z-score analysis with threshold |Z| &gt; 1.5, months with unusually high expenditure were flagged. The most significant anomalies were January 2024 (first EMI month combined with high groceries and investments) and June 2024 (peak combined Investments and Savings contributions). Rolling 3-month and 6-month averages confirmed a gradual upward trend 2020-2024 followed by moderation in 2025. Seasonal analysis shows January and June are consistently high-spend months while May and November are lower.</w:t>
      </w:r>
    </w:p>
    <w:p w14:paraId="00100040" w14:textId="00100041">
      <w:pPr>
        <w:pStyle w:val="Heading1"/>
        <w:spacing w:before="200" w:after="120"/>
      </w:pPr>
      <w:r>
        <w:rPr>
          <w:b/>
          <w:sz w:val="32"/>
        </w:rPr>
        <w:t xml:space="preserve">8. Spending Type Classification</w:t>
      </w:r>
    </w:p>
    <w:p w14:paraId="00100042" w14:textId="00100043">
      <w:pPr>
        <w:spacing w:after="160"/>
      </w:pPr>
      <w:r>
        <w:rPr>
          <w:sz w:val="22"/>
        </w:rPr>
        <w:t xml:space="preserve">Essential spending (Groceries, Rent, Transportation, Utilities, Healthcare, EMI) accounts for approximately 47% of all tracked spending. Investment and Savings together account for approximately 45% — an exceptionally strong wealth-building allocation. Discretionary spending (Dining and Shopping) is well-controlled at approximately 6%. Gym contributes the remaining 2%.</w:t>
      </w:r>
    </w:p>
    <w:p w14:paraId="00100044" w14:textId="00100045">
      <w:pPr>
        <w:pStyle w:val="Heading1"/>
        <w:spacing w:before="200" w:after="120"/>
      </w:pPr>
      <w:r>
        <w:rPr>
          <w:b/>
          <w:sz w:val="32"/>
        </w:rPr>
        <w:t xml:space="preserve">9. Personal Financial Insights</w:t>
      </w:r>
    </w:p>
    <w:p w14:paraId="00100046" w14:textId="00100047">
      <w:pPr>
        <w:spacing w:after="80"/>
      </w:pPr>
      <w:r>
        <w:rPr>
          <w:sz w:val="22"/>
        </w:rPr>
        <w:t xml:space="preserve">Savings Rate: Average 21-23% of income. EXCELLENT — consistently above the recommended 20% target.</w:t>
      </w:r>
    </w:p>
    <w:p w14:paraId="00100048" w14:textId="00100049">
      <w:pPr>
        <w:spacing w:after="80"/>
      </w:pPr>
      <w:r>
        <w:rPr>
          <w:sz w:val="22"/>
        </w:rPr>
        <w:t xml:space="preserve">Rent Burden: 25-30% of income. HEALTHY — within the standard 30% housing threshold.</w:t>
      </w:r>
    </w:p>
    <w:p w14:paraId="0010004A" w14:textId="0010004B">
      <w:pPr>
        <w:spacing w:after="80"/>
      </w:pPr>
      <w:r>
        <w:rPr>
          <w:sz w:val="22"/>
        </w:rPr>
        <w:t xml:space="preserve">Investment Rate: 14-17% of income. STRONG — at or above the 15% target for long-term wealth building.</w:t>
      </w:r>
    </w:p>
    <w:p w14:paraId="0010004C" w14:textId="0010004D">
      <w:pPr>
        <w:spacing w:after="80"/>
      </w:pPr>
      <w:r>
        <w:rPr>
          <w:sz w:val="22"/>
        </w:rPr>
        <w:t xml:space="preserve">Discretionary Spending: 6-8% of income. WELL-CONTROLLED — comfortably under the 10% guideline.</w:t>
      </w:r>
    </w:p>
    <w:p w14:paraId="0010004E" w14:textId="0010004F">
      <w:pPr>
        <w:spacing w:after="80"/>
      </w:pPr>
      <w:r>
        <w:rPr>
          <w:sz w:val="22"/>
        </w:rPr>
        <w:t xml:space="preserve">EMI Burden (2024): 9-10% of income. MANAGEABLE — just under the 10% debt-service threshold.</w:t>
      </w:r>
    </w:p>
    <w:p w14:paraId="00100050" w14:textId="00100051">
      <w:pPr>
        <w:spacing w:after="80"/>
      </w:pPr>
      <w:r>
        <w:rPr>
          <w:sz w:val="22"/>
        </w:rPr>
        <w:t xml:space="preserve">Income Growth: 60% increase from Rs 40,000 in 2020 to Rs 64,000 in 2024. STRONG career progression.</w:t>
      </w:r>
    </w:p>
    <w:p w14:paraId="00100052" w14:textId="00100053">
      <w:pPr>
        <w:spacing w:after="80"/>
      </w:pPr>
      <w:r>
        <w:rPr>
          <w:sz w:val="22"/>
        </w:rPr>
        <w:t xml:space="preserve">Budget Discipline: Zero deficit months across all 69 months. EXCEPTIONAL consistency.</w:t>
      </w:r>
    </w:p>
    <w:p w14:paraId="00100054" w14:textId="00100055">
      <w:pPr>
        <w:spacing w:after="160"/>
      </w:pPr>
      <w:r>
        <w:rPr>
          <w:sz w:val="22"/>
        </w:rPr>
        <w:t xml:space="preserve">Grocery Growth: Approximately +60% from 2020 to 2025. MONITOR — likely inflation-driven. Review for optimization.</w:t>
      </w:r>
    </w:p>
    <w:p w14:paraId="00100056" w14:textId="00100057">
      <w:pPr>
        <w:pStyle w:val="Heading1"/>
        <w:spacing w:before="200" w:after="120"/>
      </w:pPr>
      <w:r>
        <w:rPr>
          <w:b/>
          <w:sz w:val="32"/>
        </w:rPr>
        <w:t xml:space="preserve">10. Charts Produced</w:t>
      </w:r>
    </w:p>
    <w:p w14:paraId="00100058" w14:textId="00100059">
      <w:pPr>
        <w:spacing w:after="60"/>
      </w:pPr>
      <w:r>
        <w:rPr>
          <w:sz w:val="22"/>
        </w:rPr>
        <w:t xml:space="preserve">chart_category_overview.png — Bar chart and pie chart: total spending per category and share distribution.</w:t>
      </w:r>
    </w:p>
    <w:p w14:paraId="0010005A" w14:textId="0010005B">
      <w:pPr>
        <w:spacing w:after="60"/>
      </w:pPr>
      <w:r>
        <w:rPr>
          <w:sz w:val="22"/>
        </w:rPr>
        <w:t xml:space="preserve">chart_monthly_expenditure.png — Line chart: monthly expenditure vs income over time with savings rate bar chart.</w:t>
      </w:r>
    </w:p>
    <w:p w14:paraId="0010005C" w14:textId="0010005D">
      <w:pPr>
        <w:spacing w:after="60"/>
      </w:pPr>
      <w:r>
        <w:rPr>
          <w:sz w:val="22"/>
        </w:rPr>
        <w:t xml:space="preserve">chart_spending_type.png — Bar chart: total spending grouped by type (Essential / Investments / Discretionary / Gym).</w:t>
      </w:r>
    </w:p>
    <w:p w14:paraId="0010005E" w14:textId="0010005F">
      <w:pPr>
        <w:spacing w:after="60"/>
      </w:pPr>
      <w:r>
        <w:rPr>
          <w:sz w:val="22"/>
        </w:rPr>
        <w:t xml:space="preserve">chart_yearly_category.png — Stacked and grouped bar: yearly spending per category.</w:t>
      </w:r>
    </w:p>
    <w:p w14:paraId="00100060" w14:textId="00100061">
      <w:pPr>
        <w:spacing w:after="60"/>
      </w:pPr>
      <w:r>
        <w:rPr>
          <w:sz w:val="22"/>
        </w:rPr>
        <w:t xml:space="preserve">chart_seasonal.png — Bar chart: average expenditure by calendar month showing seasonal patterns.</w:t>
      </w:r>
    </w:p>
    <w:p w14:paraId="00100062" w14:textId="00100063">
      <w:pPr>
        <w:spacing w:after="60"/>
      </w:pPr>
      <w:r>
        <w:rPr>
          <w:sz w:val="22"/>
        </w:rPr>
        <w:t xml:space="preserve">chart_heatmap.png — Heatmap: average monthly spending per category by year.</w:t>
      </w:r>
    </w:p>
    <w:p w14:paraId="00100064" w14:textId="00100065">
      <w:pPr>
        <w:spacing w:after="60"/>
      </w:pPr>
      <w:r>
        <w:rPr>
          <w:sz w:val="22"/>
        </w:rPr>
        <w:t xml:space="preserve">chart_anomaly.png — Line chart with scatter: anomaly detection with z-score threshold bands.</w:t>
      </w:r>
    </w:p>
    <w:p w14:paraId="00100066" w14:textId="00100067">
      <w:pPr>
        <w:spacing w:after="60"/>
      </w:pPr>
      <w:r>
        <w:rPr>
          <w:sz w:val="22"/>
        </w:rPr>
        <w:t xml:space="preserve">chart_rolling_trend.png — Line chart: 3-month and 6-month rolling average spending trends.</w:t>
      </w:r>
    </w:p>
    <w:p w14:paraId="00100068" w14:textId="00100069">
      <w:pPr>
        <w:spacing w:after="160"/>
      </w:pPr>
      <w:r>
        <w:rPr>
          <w:sz w:val="22"/>
        </w:rPr>
        <w:t xml:space="preserve">chart_yoy_growth.png — Grouped bar chart: year-over-year growth comparison for expenditure vs income.</w:t>
      </w:r>
    </w:p>
    <w:p w14:paraId="0010006A" w14:textId="0010006B">
      <w:pPr>
        <w:pStyle w:val="Heading1"/>
        <w:spacing w:before="200" w:after="120"/>
      </w:pPr>
      <w:r>
        <w:rPr>
          <w:b/>
          <w:sz w:val="32"/>
        </w:rPr>
        <w:t xml:space="preserve">11. Project Files</w:t>
      </w:r>
    </w:p>
    <w:p w14:paraId="0010006C" w14:textId="0010006D">
      <w:pPr>
        <w:spacing w:after="60"/>
      </w:pPr>
      <w:r>
        <w:rPr>
          <w:sz w:val="22"/>
        </w:rPr>
        <w:t xml:space="preserve">monthly_spending_dataset_2020_2025.csv — Source dataset (CSV, 69 rows x 13 columns).</w:t>
      </w:r>
    </w:p>
    <w:p w14:paraId="0010006E" w14:textId="0010006F">
      <w:pPr>
        <w:spacing w:after="60"/>
      </w:pPr>
      <w:r>
        <w:rPr>
          <w:sz w:val="22"/>
        </w:rPr>
        <w:t xml:space="preserve">monthly_spending_analysis.ipynb — Jupyter Notebook with 13 analysis sections covering all requirements.</w:t>
      </w:r>
    </w:p>
    <w:p w14:paraId="00100070" w14:textId="00100071">
      <w:pPr>
        <w:spacing w:after="60"/>
      </w:pPr>
      <w:r>
        <w:rPr>
          <w:sz w:val="22"/>
        </w:rPr>
        <w:t xml:space="preserve">app.py — Streamlit dashboard with 5 navigation sections: Overview, Category Analysis, Trends, Patterns, Insights.</w:t>
      </w:r>
    </w:p>
    <w:p w14:paraId="00100072" w14:textId="00100073">
      <w:pPr>
        <w:spacing w:after="60"/>
      </w:pPr>
      <w:r>
        <w:rPr>
          <w:sz w:val="22"/>
        </w:rPr>
        <w:t xml:space="preserve">requirements.txt — Python dependencies: pandas, numpy, scipy, matplotlib, seaborn, streamlit, jupyter.</w:t>
      </w:r>
    </w:p>
    <w:p w14:paraId="00100074" w14:textId="00100075">
      <w:pPr>
        <w:spacing w:after="160"/>
      </w:pPr>
      <w:r>
        <w:rPr>
          <w:sz w:val="22"/>
        </w:rPr>
        <w:t xml:space="preserve">project_report.docx — This project report document.</w:t>
      </w:r>
    </w:p>
    <w:p w14:paraId="00100076" w14:textId="00100077">
      <w:pPr>
        <w:pStyle w:val="Heading1"/>
        <w:spacing w:before="200" w:after="120"/>
      </w:pPr>
      <w:r>
        <w:rPr>
          <w:b/>
          <w:sz w:val="32"/>
        </w:rPr>
        <w:t xml:space="preserve">12. How to Run</w:t>
      </w:r>
    </w:p>
    <w:p w14:paraId="00100078" w14:textId="00100079">
      <w:pPr>
        <w:spacing w:after="120"/>
      </w:pPr>
      <w:r>
        <w:rPr>
          <w:b/>
          <w:sz w:val="22"/>
        </w:rPr>
        <w:t xml:space="preserve">Step 1 — Install dependencies:   pip install -r requirements.txt</w:t>
      </w:r>
    </w:p>
    <w:p w14:paraId="0010007A" w14:textId="0010007B">
      <w:pPr>
        <w:spacing w:after="80"/>
      </w:pPr>
      <w:r>
        <w:rPr>
          <w:b/>
          <w:sz w:val="22"/>
        </w:rPr>
        <w:t xml:space="preserve">Step 2 — Run the Jupyter Notebook:   jupyter notebook monthly_spending_analysis.ipynb</w:t>
      </w:r>
    </w:p>
    <w:p w14:paraId="0010007C" w14:textId="0010007D">
      <w:pPr>
        <w:spacing w:after="120"/>
      </w:pPr>
      <w:r>
        <w:rPr>
          <w:sz w:val="22"/>
        </w:rPr>
        <w:t xml:space="preserve">Execute all cells from top to bottom. Chart PNG files will be saved automatically to the project directory.</w:t>
      </w:r>
    </w:p>
    <w:p w14:paraId="0010007E" w14:textId="0010007F">
      <w:pPr>
        <w:spacing w:after="80"/>
      </w:pPr>
      <w:r>
        <w:rPr>
          <w:b/>
          <w:sz w:val="22"/>
        </w:rPr>
        <w:t xml:space="preserve">Step 3 — Launch the Streamlit Dashboard:   streamlit run app.py</w:t>
      </w:r>
    </w:p>
    <w:p w14:paraId="00100080" w14:textId="00100081">
      <w:pPr>
        <w:spacing w:after="160"/>
      </w:pPr>
      <w:r>
        <w:rPr>
          <w:sz w:val="22"/>
        </w:rPr>
        <w:t xml:space="preserve">The dashboard opens in your browser at http://localhost:8501. Use the left sidebar to select years and navigate between 5 sections: Overview &amp; Data Quality, Category Analysis, Monthly &amp; Yearly Trends, Spending Patterns, and Financial Insights.</w:t>
      </w:r>
    </w:p>
    <w:p w14:paraId="00100082" w14:textId="00100083">
      <w:pPr>
        <w:pStyle w:val="Heading1"/>
        <w:spacing w:before="200" w:after="120"/>
      </w:pPr>
      <w:r>
        <w:rPr>
          <w:b/>
          <w:sz w:val="32"/>
        </w:rPr>
        <w:t xml:space="preserve">13. Conclusions</w:t>
      </w:r>
    </w:p>
    <w:p w14:paraId="00100084" w14:textId="00100085">
      <w:pPr>
        <w:spacing w:after="80"/>
      </w:pPr>
      <w:r>
        <w:rPr>
          <w:sz w:val="22"/>
        </w:rPr>
        <w:t xml:space="preserve">1. Savings and investment discipline is exceptional — together they account for approximately 45% of all tracked spending over 5 years.</w:t>
      </w:r>
    </w:p>
    <w:p w14:paraId="00100086" w14:textId="00100087">
      <w:pPr>
        <w:spacing w:after="80"/>
      </w:pPr>
      <w:r>
        <w:rPr>
          <w:sz w:val="22"/>
        </w:rPr>
        <w:t xml:space="preserve">2. Income grew 60% from 2020 to 2024, outpacing the approximately 50% rise in total expenditure, yielding a growing monthly surplus.</w:t>
      </w:r>
    </w:p>
    <w:p w14:paraId="00100088" w14:textId="00100089">
      <w:pPr>
        <w:spacing w:after="80"/>
      </w:pPr>
      <w:r>
        <w:rPr>
          <w:sz w:val="22"/>
        </w:rPr>
        <w:t xml:space="preserve">3. Discretionary spending (dining and shopping) is well-controlled at under 8% of income — a sign of strong financial awareness.</w:t>
      </w:r>
    </w:p>
    <w:p w14:paraId="0010008A" w14:textId="0010008B">
      <w:pPr>
        <w:spacing w:after="80"/>
      </w:pPr>
      <w:r>
        <w:rPr>
          <w:sz w:val="22"/>
        </w:rPr>
        <w:t xml:space="preserve">4. The 2024 EMI period was navigated without any budget deficit — demonstrating the ability to absorb new financial obligations.</w:t>
      </w:r>
    </w:p>
    <w:p w14:paraId="0010008C" w14:textId="0010008D">
      <w:pPr>
        <w:spacing w:after="80"/>
      </w:pPr>
      <w:r>
        <w:rPr>
          <w:sz w:val="22"/>
        </w:rPr>
        <w:t xml:space="preserve">5. Grocery spending grew approximately 60% over 5 years. This likely reflects both lifestyle upgrades and inflation and should be monitored going forward.</w:t>
      </w:r>
    </w:p>
    <w:p w14:paraId="0010008E" w14:textId="0010008F">
      <w:pPr>
        <w:spacing w:after="240"/>
      </w:pPr>
      <w:r>
        <w:rPr>
          <w:sz w:val="22"/>
        </w:rPr>
        <w:t xml:space="preserve">6. Zero deficit months across 69 consecutive months demonstrates consistent, disciplined personal budgeting throughout the entire analysis period.</w:t>
      </w:r>
    </w:p>
    <w:p w14:paraId="00100090" w14:textId="00100091">
      <w:pPr>
        <w:spacing w:before="240"/>
        <w:jc w:val="center"/>
      </w:pPr>
      <w:r>
        <w:rPr>
          <w:color w:val="57606A"/>
          <w:sz w:val="20"/>
        </w:rPr>
        <w:t xml:space="preserve">Report generated using Python (Pandas, Matplotlib, Seaborn, Streamlit, Scipy) | IBM Bob</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s>
</file>

<file path=word/_rels/document.xml.rels>&#65279;<?xml version="1.0" encoding="utf-8"?><Relationships xmlns="http://schemas.openxmlformats.org/package/2006/relationships"><Relationship Type="http://schemas.openxmlformats.org/officeDocument/2006/relationships/settings" Target="/word/settings.xml" Id="R00b33e19f546477a" /><Relationship Type="http://schemas.openxmlformats.org/officeDocument/2006/relationships/styles" Target="/word/styles.xml" Id="Rbda2bac2732c453e" /><Relationship Type="http://schemas.openxmlformats.org/officeDocument/2006/relationships/theme" Target="/word/theme/theme1.xml" Id="R1d0cbd4c00144708" /><Relationship Type="http://schemas.openxmlformats.org/officeDocument/2006/relationships/numbering" Target="/word/numbering.xml" Id="Rf7b4fa6cfb5a48c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2026-09-24T13:08:07Z</dcterms:created>
  <cp:lastModifiedBy>OfficeCLI</cp:lastModifiedBy>
  <dcterms:modified xsi:type="dcterms:W3CDTF">2026-09-24T13:08:07Z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2026-09-24T13:09:29Z</vt:lpwstr>
  </op:property>
</op:Properties>
</file>