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585C1" w14:textId="4033FB99" w:rsidR="007C1424" w:rsidRPr="00672666" w:rsidRDefault="007C1424" w:rsidP="007C1424">
      <w:pPr>
        <w:rPr>
          <w:b/>
          <w:bCs/>
          <w:lang w:val="en-US"/>
        </w:rPr>
      </w:pPr>
      <w:r w:rsidRPr="00672666">
        <w:rPr>
          <w:b/>
          <w:bCs/>
          <w:lang w:val="en-US"/>
        </w:rPr>
        <w:t xml:space="preserve">DEMO2002 W5 Tutorial </w:t>
      </w:r>
    </w:p>
    <w:p w14:paraId="204650A2" w14:textId="678A9F5F" w:rsidR="007C1424" w:rsidRDefault="007C1424" w:rsidP="00A31117">
      <w:pPr>
        <w:jc w:val="center"/>
        <w:rPr>
          <w:sz w:val="22"/>
          <w:szCs w:val="22"/>
          <w:lang w:val="en-US"/>
        </w:rPr>
      </w:pPr>
      <w:r w:rsidRPr="007C1424">
        <w:rPr>
          <w:noProof/>
          <w:sz w:val="22"/>
          <w:szCs w:val="22"/>
          <w:lang w:val="en-US"/>
        </w:rPr>
        <w:drawing>
          <wp:inline distT="0" distB="0" distL="0" distR="0" wp14:anchorId="4C10E02B" wp14:editId="448ACB00">
            <wp:extent cx="3962400" cy="3461189"/>
            <wp:effectExtent l="0" t="0" r="0" b="6350"/>
            <wp:docPr id="93336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2917" name=""/>
                    <pic:cNvPicPr/>
                  </pic:nvPicPr>
                  <pic:blipFill>
                    <a:blip r:embed="rId4"/>
                    <a:stretch>
                      <a:fillRect/>
                    </a:stretch>
                  </pic:blipFill>
                  <pic:spPr>
                    <a:xfrm>
                      <a:off x="0" y="0"/>
                      <a:ext cx="3976129" cy="3473182"/>
                    </a:xfrm>
                    <a:prstGeom prst="rect">
                      <a:avLst/>
                    </a:prstGeom>
                  </pic:spPr>
                </pic:pic>
              </a:graphicData>
            </a:graphic>
          </wp:inline>
        </w:drawing>
      </w:r>
    </w:p>
    <w:p w14:paraId="21BD2418" w14:textId="77777777" w:rsidR="00DA6779" w:rsidRDefault="007C1424" w:rsidP="007C1424">
      <w:pPr>
        <w:rPr>
          <w:lang w:val="en-US"/>
        </w:rPr>
      </w:pPr>
      <w:r>
        <w:rPr>
          <w:lang w:val="en-US"/>
        </w:rPr>
        <w:t xml:space="preserve">The above figure depicts the evolution of life expectancy at different age milestones based on period data of males in Denmark. We observe life expectancy for people to survived to age 0, age 30, and age 80 between the years 1835-2023. </w:t>
      </w:r>
    </w:p>
    <w:p w14:paraId="55916CB9" w14:textId="77777777" w:rsidR="00E54404" w:rsidRDefault="007C1424" w:rsidP="007C1424">
      <w:pPr>
        <w:rPr>
          <w:lang w:val="en-US"/>
        </w:rPr>
      </w:pPr>
      <w:r>
        <w:rPr>
          <w:lang w:val="en-US"/>
        </w:rPr>
        <w:t xml:space="preserve">For all age milestones, we see a general increase in life expectancy </w:t>
      </w:r>
      <w:r w:rsidR="004F05DA">
        <w:rPr>
          <w:lang w:val="en-US"/>
        </w:rPr>
        <w:t>from 1850-1950</w:t>
      </w:r>
      <w:r>
        <w:rPr>
          <w:lang w:val="en-US"/>
        </w:rPr>
        <w:t xml:space="preserve">. </w:t>
      </w:r>
    </w:p>
    <w:p w14:paraId="319861B0" w14:textId="0AC65769" w:rsidR="007C1424" w:rsidRDefault="007C1424" w:rsidP="007C1424">
      <w:pPr>
        <w:rPr>
          <w:lang w:val="en-US"/>
        </w:rPr>
      </w:pPr>
      <w:r>
        <w:rPr>
          <w:lang w:val="en-US"/>
        </w:rPr>
        <w:t>The steepest increase in life expectancy is observed at age 0</w:t>
      </w:r>
      <w:r w:rsidR="00E249B6">
        <w:rPr>
          <w:lang w:val="en-US"/>
        </w:rPr>
        <w:t>,</w:t>
      </w:r>
      <w:r>
        <w:rPr>
          <w:lang w:val="en-US"/>
        </w:rPr>
        <w:t xml:space="preserve"> </w:t>
      </w:r>
      <w:r w:rsidR="00347751">
        <w:rPr>
          <w:lang w:val="en-US"/>
        </w:rPr>
        <w:t>pre-</w:t>
      </w:r>
      <w:r>
        <w:rPr>
          <w:lang w:val="en-US"/>
        </w:rPr>
        <w:t>1950</w:t>
      </w:r>
      <w:r w:rsidR="00E249B6">
        <w:rPr>
          <w:lang w:val="en-US"/>
        </w:rPr>
        <w:t>,</w:t>
      </w:r>
      <w:r>
        <w:rPr>
          <w:lang w:val="en-US"/>
        </w:rPr>
        <w:t xml:space="preserve"> before slightly tapering off</w:t>
      </w:r>
      <w:r w:rsidR="00E54404">
        <w:rPr>
          <w:lang w:val="en-US"/>
        </w:rPr>
        <w:t xml:space="preserve">. </w:t>
      </w:r>
      <w:r w:rsidR="00040E10">
        <w:rPr>
          <w:lang w:val="en-US"/>
        </w:rPr>
        <w:t>The plot implies that health advancements during this period aided both e(0) and e(30), but had more dramatically enhanced survival in the former.</w:t>
      </w:r>
      <w:r>
        <w:rPr>
          <w:lang w:val="en-US"/>
        </w:rPr>
        <w:t xml:space="preserve"> </w:t>
      </w:r>
      <w:r w:rsidR="00E54404">
        <w:rPr>
          <w:lang w:val="en-US"/>
        </w:rPr>
        <w:t>Indeed,</w:t>
      </w:r>
      <w:r w:rsidR="00566C17">
        <w:rPr>
          <w:lang w:val="en-US"/>
        </w:rPr>
        <w:t xml:space="preserve"> the expansion of health providers and disease eradication </w:t>
      </w:r>
      <w:r w:rsidR="00E54404">
        <w:rPr>
          <w:lang w:val="en-US"/>
        </w:rPr>
        <w:t xml:space="preserve">during this time </w:t>
      </w:r>
      <w:r w:rsidR="00566C17">
        <w:rPr>
          <w:lang w:val="en-US"/>
        </w:rPr>
        <w:t>particularly reduced infant and children mortality</w:t>
      </w:r>
      <w:r w:rsidR="00E14092">
        <w:rPr>
          <w:lang w:val="en-US"/>
        </w:rPr>
        <w:t xml:space="preserve"> </w:t>
      </w:r>
      <w:r w:rsidR="00E14092">
        <w:rPr>
          <w:lang w:val="en-US"/>
        </w:rPr>
        <w:fldChar w:fldCharType="begin"/>
      </w:r>
      <w:r w:rsidR="00E14092">
        <w:rPr>
          <w:lang w:val="en-US"/>
        </w:rPr>
        <w:instrText xml:space="preserve"> ADDIN ZOTERO_ITEM CSL_CITATION {"citationID":"3hdndOVW","properties":{"formattedCitation":"(Kinsella, 1992)","plainCitation":"(Kinsella, 1992)","noteIndex":0},"citationItems":[{"id":222,"uris":["http://zotero.org/users/8027965/items/RN52V8D2"],"itemData":{"id":222,"type":"article-journal","container-title":"The American Journal of Clinical Nutrition","DOI":"10.1093/ajcn/55.6.1196S","ISSN":"00029165","issue":"6","journalAbbreviation":"The American Journal of Clinical Nutrition","language":"en","page":"1196S-1202S","source":"DOI.org (Crossref)","title":"Changes in life expectancy 1900–1990","volume":"55","author":[{"family":"Kinsella","given":"Kg"}],"issued":{"date-parts":[["1992",6]]},"citation-key":"kinsella1992"}}],"schema":"https://github.com/citation-style-language/schema/raw/master/csl-citation.json"} </w:instrText>
      </w:r>
      <w:r w:rsidR="00E14092">
        <w:rPr>
          <w:lang w:val="en-US"/>
        </w:rPr>
        <w:fldChar w:fldCharType="separate"/>
      </w:r>
      <w:r w:rsidR="00E14092" w:rsidRPr="00E14092">
        <w:rPr>
          <w:rFonts w:ascii="Aptos" w:hAnsi="Aptos"/>
        </w:rPr>
        <w:t>(Kinsella, 1992)</w:t>
      </w:r>
      <w:r w:rsidR="00E14092">
        <w:rPr>
          <w:lang w:val="en-US"/>
        </w:rPr>
        <w:fldChar w:fldCharType="end"/>
      </w:r>
      <w:r w:rsidR="00DD1218">
        <w:rPr>
          <w:lang w:val="en-US"/>
        </w:rPr>
        <w:t>. V</w:t>
      </w:r>
      <w:r w:rsidR="00522AAE">
        <w:rPr>
          <w:lang w:val="en-US"/>
        </w:rPr>
        <w:t>irtually all industrialised countries</w:t>
      </w:r>
      <w:r w:rsidR="00420529">
        <w:rPr>
          <w:lang w:val="en-US"/>
        </w:rPr>
        <w:t xml:space="preserve"> experienced </w:t>
      </w:r>
      <w:r w:rsidR="006E1323">
        <w:rPr>
          <w:lang w:val="en-US"/>
        </w:rPr>
        <w:t xml:space="preserve">significant declines in mortality </w:t>
      </w:r>
      <w:r w:rsidR="0052117F">
        <w:rPr>
          <w:lang w:val="en-US"/>
        </w:rPr>
        <w:t>from 1900</w:t>
      </w:r>
      <w:r w:rsidR="00CF7494">
        <w:rPr>
          <w:lang w:val="en-US"/>
        </w:rPr>
        <w:t xml:space="preserve">, with certain countries </w:t>
      </w:r>
      <w:r w:rsidR="0019753D">
        <w:rPr>
          <w:lang w:val="en-US"/>
        </w:rPr>
        <w:t>— like Denmark — having stagnation in male life expectancy from the 1950s-1970</w:t>
      </w:r>
      <w:r w:rsidR="00EF6578">
        <w:rPr>
          <w:lang w:val="en-US"/>
        </w:rPr>
        <w:t xml:space="preserve">s </w:t>
      </w:r>
      <w:r w:rsidR="007C7CA9">
        <w:rPr>
          <w:lang w:val="en-US"/>
        </w:rPr>
        <w:fldChar w:fldCharType="begin"/>
      </w:r>
      <w:r w:rsidR="007C7CA9">
        <w:rPr>
          <w:lang w:val="en-US"/>
        </w:rPr>
        <w:instrText xml:space="preserve"> ADDIN ZOTERO_ITEM CSL_CITATION {"citationID":"kZ4YgnTu","properties":{"formattedCitation":"(Kinsella, 1992)","plainCitation":"(Kinsella, 1992)","noteIndex":0},"citationItems":[{"id":222,"uris":["http://zotero.org/users/8027965/items/RN52V8D2"],"itemData":{"id":222,"type":"article-journal","container-title":"The American Journal of Clinical Nutrition","DOI":"10.1093/ajcn/55.6.1196S","ISSN":"00029165","issue":"6","journalAbbreviation":"The American Journal of Clinical Nutrition","language":"en","page":"1196S-1202S","source":"DOI.org (Crossref)","title":"Changes in life expectancy 1900–1990","volume":"55","author":[{"family":"Kinsella","given":"Kg"}],"issued":{"date-parts":[["1992",6]]},"citation-key":"kinsella1992"}}],"schema":"https://github.com/citation-style-language/schema/raw/master/csl-citation.json"} </w:instrText>
      </w:r>
      <w:r w:rsidR="007C7CA9">
        <w:rPr>
          <w:lang w:val="en-US"/>
        </w:rPr>
        <w:fldChar w:fldCharType="separate"/>
      </w:r>
      <w:r w:rsidR="007C7CA9" w:rsidRPr="007C7CA9">
        <w:rPr>
          <w:rFonts w:ascii="Aptos" w:hAnsi="Aptos"/>
        </w:rPr>
        <w:t>(Kinsella, 1992)</w:t>
      </w:r>
      <w:r w:rsidR="007C7CA9">
        <w:rPr>
          <w:lang w:val="en-US"/>
        </w:rPr>
        <w:fldChar w:fldCharType="end"/>
      </w:r>
      <w:r>
        <w:rPr>
          <w:lang w:val="en-US"/>
        </w:rPr>
        <w:t>.</w:t>
      </w:r>
      <w:r w:rsidR="00E54404">
        <w:rPr>
          <w:lang w:val="en-US"/>
        </w:rPr>
        <w:t xml:space="preserve"> </w:t>
      </w:r>
      <w:r w:rsidR="00E94BD0">
        <w:rPr>
          <w:lang w:val="en-US"/>
        </w:rPr>
        <w:t xml:space="preserve">Afterwards, </w:t>
      </w:r>
      <w:r w:rsidR="001C1964">
        <w:rPr>
          <w:lang w:val="en-US"/>
        </w:rPr>
        <w:t>l</w:t>
      </w:r>
      <w:r w:rsidR="00F56025">
        <w:rPr>
          <w:lang w:val="en-US"/>
        </w:rPr>
        <w:t xml:space="preserve">ife expectancy </w:t>
      </w:r>
      <w:r>
        <w:rPr>
          <w:lang w:val="en-US"/>
        </w:rPr>
        <w:t>resum</w:t>
      </w:r>
      <w:r w:rsidR="00F56025">
        <w:rPr>
          <w:lang w:val="en-US"/>
        </w:rPr>
        <w:t xml:space="preserve">ed </w:t>
      </w:r>
      <w:r>
        <w:rPr>
          <w:lang w:val="en-US"/>
        </w:rPr>
        <w:t xml:space="preserve">growth </w:t>
      </w:r>
      <w:r w:rsidR="00B718F4">
        <w:rPr>
          <w:lang w:val="en-US"/>
        </w:rPr>
        <w:t>from</w:t>
      </w:r>
      <w:r>
        <w:rPr>
          <w:lang w:val="en-US"/>
        </w:rPr>
        <w:t xml:space="preserve"> the 1990s. </w:t>
      </w:r>
      <w:r w:rsidR="00A11DA1">
        <w:rPr>
          <w:lang w:val="en-US"/>
        </w:rPr>
        <w:t>In the post-WW2 era, the Nordic countries</w:t>
      </w:r>
      <w:r w:rsidR="008B1039">
        <w:rPr>
          <w:lang w:val="en-US"/>
        </w:rPr>
        <w:t xml:space="preserve"> </w:t>
      </w:r>
      <w:r w:rsidR="004731F5">
        <w:rPr>
          <w:lang w:val="en-US"/>
        </w:rPr>
        <w:t xml:space="preserve">exhibited </w:t>
      </w:r>
      <w:r w:rsidR="00026703">
        <w:rPr>
          <w:lang w:val="en-US"/>
        </w:rPr>
        <w:t>excellent</w:t>
      </w:r>
      <w:r w:rsidR="00763988">
        <w:rPr>
          <w:lang w:val="en-US"/>
        </w:rPr>
        <w:t xml:space="preserve"> </w:t>
      </w:r>
      <w:r w:rsidR="004731F5">
        <w:rPr>
          <w:lang w:val="en-US"/>
        </w:rPr>
        <w:t xml:space="preserve">trends </w:t>
      </w:r>
      <w:r w:rsidR="00763988">
        <w:rPr>
          <w:lang w:val="en-US"/>
        </w:rPr>
        <w:t xml:space="preserve">in terms of </w:t>
      </w:r>
      <w:r w:rsidR="00026703">
        <w:rPr>
          <w:lang w:val="en-US"/>
        </w:rPr>
        <w:t xml:space="preserve">improved healthcare and </w:t>
      </w:r>
      <w:r w:rsidR="001C34B1">
        <w:rPr>
          <w:lang w:val="en-US"/>
        </w:rPr>
        <w:t>living standards</w:t>
      </w:r>
      <w:r w:rsidR="00026703">
        <w:rPr>
          <w:lang w:val="en-US"/>
        </w:rPr>
        <w:t xml:space="preserve">; however other countries </w:t>
      </w:r>
      <w:r w:rsidR="00A67373">
        <w:rPr>
          <w:lang w:val="en-US"/>
        </w:rPr>
        <w:t>would soon catch up and occasionally exceed Nordic life expectancies</w:t>
      </w:r>
      <w:r w:rsidR="002D3274">
        <w:rPr>
          <w:lang w:val="en-US"/>
        </w:rPr>
        <w:t xml:space="preserve"> </w:t>
      </w:r>
      <w:r w:rsidR="002D3274">
        <w:rPr>
          <w:lang w:val="en-US"/>
        </w:rPr>
        <w:fldChar w:fldCharType="begin"/>
      </w:r>
      <w:r w:rsidR="002D3274">
        <w:rPr>
          <w:lang w:val="en-US"/>
        </w:rPr>
        <w:instrText xml:space="preserve"> ADDIN ZOTERO_ITEM CSL_CITATION {"citationID":"egdFtqDB","properties":{"formattedCitation":"(Knudsen {\\i{}et al.}, 2019)","plainCitation":"(Knudsen et al., 2019)","noteIndex":0},"citationItems":[{"id":223,"uris":["http://zotero.org/users/8027965/items/AZ9BAF3E"],"itemData":{"id":223,"type":"article-journal","container-title":"The Lancet Public Health","DOI":"10.1016/S2468-2667(19)30224-5","ISSN":"24682667","issue":"12","journalAbbreviation":"The Lancet Public Health","language":"en","page":"e658-e669","source":"DOI.org (Crossref)","title":"Life expectancy and disease burden in the Nordic countries: results from the Global Burden of Diseases, Injuries, and Risk Factors Study 2017","title-short":"Life expectancy and disease burden in the Nordic countries","volume":"4","author":[{"family":"Knudsen","given":"Ann Kristin"},{"family":"Allebeck","given":"Peter"},{"family":"Tollånes","given":"Mette C"},{"family":"Skogen","given":"Jens Christoffer"},{"family":"Iburg","given":"Kim Moesgaard"},{"family":"McGrath","given":"John J."},{"family":"Juel","given":"Knud"},{"family":"Agardh","given":"Emilie Elisabet"},{"family":"Ärnlöv","given":"Johan"},{"family":"Bjørge","given":"Tone"},{"family":"Carrero","given":"Juan J"},{"family":"Cederroth","given":"Christopher R."},{"family":"Eggen","given":"Anne Elise"},{"family":"El-Khatib","given":"Ziad"},{"family":"Ellingsen","given":"Christian Lycke"},{"family":"Fereshtehnejad","given":"Seyed-Mohammad"},{"family":"Gissler","given":"Mika"},{"family":"Hadkhale","given":"Kishor"},{"family":"Havmoeller","given":"Rasmus"},{"family":"Johansson","given":"Lars"},{"family":"Juliusson","given":"Peter Benedikt"},{"family":"Kiadaliri","given":"Aliasghar A"},{"family":"Kisa","given":"Sezer"},{"family":"Kisa","given":"Adnan"},{"family":"Lallukka","given":"Tea"},{"family":"Mekonnen","given":"Teferi"},{"family":"Meretoja","given":"Tuomo J"},{"family":"Meretoja","given":"Atte"},{"family":"Naghavi","given":"Mohsen"},{"family":"Neupane","given":"Subas"},{"family":"Nguyen","given":"Truc Trung"},{"family":"Petzold","given":"Max"},{"family":"Plana-Ripoll","given":"Oleguer"},{"family":"Shiri","given":"Rahman"},{"family":"Sigurvinsdottir","given":"Rannveig"},{"family":"Skirbekk","given":"Vegard"},{"family":"Skou","given":"Søren T"},{"family":"Sigfusdottir","given":"Inga Dora"},{"family":"Steiner","given":"Timothy J"},{"family":"Sulo","given":"Gerhard"},{"family":"Truelsen","given":"Thomas Clement"},{"family":"Vasankari","given":"Tommi Juhani"},{"family":"Weiderpass","given":"Elisabete"},{"family":"Vollset","given":"Stein Emil"},{"family":"Vos","given":"Theo"},{"family":"Øverland","given":"Simon"}],"issued":{"date-parts":[["2019",12]]},"citation-key":"knudsen2019"}}],"schema":"https://github.com/citation-style-language/schema/raw/master/csl-citation.json"} </w:instrText>
      </w:r>
      <w:r w:rsidR="002D3274">
        <w:rPr>
          <w:lang w:val="en-US"/>
        </w:rPr>
        <w:fldChar w:fldCharType="separate"/>
      </w:r>
      <w:r w:rsidR="002D3274" w:rsidRPr="002D3274">
        <w:rPr>
          <w:rFonts w:ascii="Aptos" w:hAnsi="Aptos" w:cs="Times New Roman"/>
          <w:kern w:val="0"/>
        </w:rPr>
        <w:t xml:space="preserve">(Knudsen </w:t>
      </w:r>
      <w:r w:rsidR="002D3274" w:rsidRPr="002D3274">
        <w:rPr>
          <w:rFonts w:ascii="Aptos" w:hAnsi="Aptos" w:cs="Times New Roman"/>
          <w:i/>
          <w:iCs/>
          <w:kern w:val="0"/>
        </w:rPr>
        <w:t>et al.</w:t>
      </w:r>
      <w:r w:rsidR="002D3274" w:rsidRPr="002D3274">
        <w:rPr>
          <w:rFonts w:ascii="Aptos" w:hAnsi="Aptos" w:cs="Times New Roman"/>
          <w:kern w:val="0"/>
        </w:rPr>
        <w:t>, 2019)</w:t>
      </w:r>
      <w:r w:rsidR="002D3274">
        <w:rPr>
          <w:lang w:val="en-US"/>
        </w:rPr>
        <w:fldChar w:fldCharType="end"/>
      </w:r>
      <w:r w:rsidR="00A67373">
        <w:rPr>
          <w:lang w:val="en-US"/>
        </w:rPr>
        <w:t xml:space="preserve">. </w:t>
      </w:r>
      <w:r w:rsidR="006D7BFE">
        <w:rPr>
          <w:lang w:val="en-US"/>
        </w:rPr>
        <w:t>Denmark has been criticized for their lax tobacco and alcohol protection strategies</w:t>
      </w:r>
      <w:r w:rsidR="00F05C44">
        <w:rPr>
          <w:lang w:val="en-US"/>
        </w:rPr>
        <w:t>;</w:t>
      </w:r>
      <w:r w:rsidR="00A07DC3">
        <w:rPr>
          <w:lang w:val="en-US"/>
        </w:rPr>
        <w:t xml:space="preserve"> research has </w:t>
      </w:r>
      <w:r w:rsidR="003E0DE7">
        <w:rPr>
          <w:lang w:val="en-US"/>
        </w:rPr>
        <w:t xml:space="preserve">related </w:t>
      </w:r>
      <w:r w:rsidR="00794E5C">
        <w:rPr>
          <w:lang w:val="en-US"/>
        </w:rPr>
        <w:t xml:space="preserve">Denmark’s poor public health to </w:t>
      </w:r>
      <w:r w:rsidR="00C700D4">
        <w:rPr>
          <w:lang w:val="en-US"/>
        </w:rPr>
        <w:t xml:space="preserve">higher usage and accessibility to </w:t>
      </w:r>
      <w:r w:rsidR="002F5DA3">
        <w:rPr>
          <w:lang w:val="en-US"/>
        </w:rPr>
        <w:t>these vices</w:t>
      </w:r>
      <w:r w:rsidR="00F05C44">
        <w:rPr>
          <w:lang w:val="en-US"/>
        </w:rPr>
        <w:t xml:space="preserve">, for which there is “untapped potential” </w:t>
      </w:r>
      <w:r w:rsidR="003415AF">
        <w:rPr>
          <w:lang w:val="en-US"/>
        </w:rPr>
        <w:t xml:space="preserve">regarding </w:t>
      </w:r>
      <w:r w:rsidR="0082658F">
        <w:rPr>
          <w:lang w:val="en-US"/>
        </w:rPr>
        <w:t xml:space="preserve">control policies </w:t>
      </w:r>
      <w:r w:rsidR="001728DD">
        <w:rPr>
          <w:lang w:val="en-US"/>
        </w:rPr>
        <w:fldChar w:fldCharType="begin"/>
      </w:r>
      <w:r w:rsidR="001728DD">
        <w:rPr>
          <w:lang w:val="en-US"/>
        </w:rPr>
        <w:instrText xml:space="preserve"> ADDIN ZOTERO_ITEM CSL_CITATION {"citationID":"Hoa3apCB","properties":{"formattedCitation":"(Jarlstrup {\\i{}et al.}, 2018)","plainCitation":"(Jarlstrup et al., 2018)","noteIndex":0},"citationItems":[{"id":225,"uris":["http://zotero.org/users/8027965/items/VN4KGYU9"],"itemData":{"id":225,"type":"article-journal","container-title":"Current Addiction Reports","DOI":"10.1007/s40429-018-0187-x","ISSN":"2196-2952","issue":"1","journalAbbreviation":"Curr Addict Rep","language":"en","page":"42-53","source":"DOI.org (Crossref)","title":"International Approaches to Tobacco Use Cessation Programs and Policy in Adolescents and Young Adults: Denmark","title-short":"International Approaches to Tobacco Use Cessation Programs and Policy in Adolescents and Young Adults","volume":"5","author":[{"family":"Jarlstrup","given":"Nanna Schneekloth"},{"family":"Juel","given":"Knud"},{"family":"Pisinger","given":"Charlotta H."},{"family":"Grønbæk","given":"Morten"},{"family":"Holm","given":"Søren"},{"family":"Andersen","given":"Susan"}],"issued":{"date-parts":[["2018",3]]},"citation-key":"jarlstrup2018"}}],"schema":"https://github.com/citation-style-language/schema/raw/master/csl-citation.json"} </w:instrText>
      </w:r>
      <w:r w:rsidR="001728DD">
        <w:rPr>
          <w:lang w:val="en-US"/>
        </w:rPr>
        <w:fldChar w:fldCharType="separate"/>
      </w:r>
      <w:r w:rsidR="001728DD" w:rsidRPr="001728DD">
        <w:rPr>
          <w:rFonts w:ascii="Aptos" w:hAnsi="Aptos" w:cs="Times New Roman"/>
          <w:kern w:val="0"/>
        </w:rPr>
        <w:t xml:space="preserve">(Jarlstrup </w:t>
      </w:r>
      <w:r w:rsidR="001728DD" w:rsidRPr="001728DD">
        <w:rPr>
          <w:rFonts w:ascii="Aptos" w:hAnsi="Aptos" w:cs="Times New Roman"/>
          <w:i/>
          <w:iCs/>
          <w:kern w:val="0"/>
        </w:rPr>
        <w:t>et al.</w:t>
      </w:r>
      <w:r w:rsidR="001728DD" w:rsidRPr="001728DD">
        <w:rPr>
          <w:rFonts w:ascii="Aptos" w:hAnsi="Aptos" w:cs="Times New Roman"/>
          <w:kern w:val="0"/>
        </w:rPr>
        <w:t>, 2018)</w:t>
      </w:r>
      <w:r w:rsidR="001728DD">
        <w:rPr>
          <w:lang w:val="en-US"/>
        </w:rPr>
        <w:fldChar w:fldCharType="end"/>
      </w:r>
      <w:r w:rsidR="0082658F">
        <w:rPr>
          <w:lang w:val="en-US"/>
        </w:rPr>
        <w:t xml:space="preserve">. </w:t>
      </w:r>
      <w:r>
        <w:rPr>
          <w:lang w:val="en-US"/>
        </w:rPr>
        <w:t>At age 80, life expectancy remains roughly stable with marginal improvement</w:t>
      </w:r>
      <w:r w:rsidR="001A4F99">
        <w:rPr>
          <w:lang w:val="en-US"/>
        </w:rPr>
        <w:t xml:space="preserve"> across the entirety of 1835-2023</w:t>
      </w:r>
      <w:r w:rsidR="00CC6483">
        <w:rPr>
          <w:lang w:val="en-US"/>
        </w:rPr>
        <w:t xml:space="preserve"> —</w:t>
      </w:r>
      <w:r w:rsidR="000F19C9">
        <w:rPr>
          <w:lang w:val="en-US"/>
        </w:rPr>
        <w:t xml:space="preserve"> </w:t>
      </w:r>
      <w:r>
        <w:rPr>
          <w:lang w:val="en-US"/>
        </w:rPr>
        <w:t xml:space="preserve">Denmark males can expect to live ~3 years longer had they reached 80 years of age in 2023 than 1850. </w:t>
      </w:r>
    </w:p>
    <w:p w14:paraId="730D9381" w14:textId="4356903B" w:rsidR="007C1424" w:rsidRPr="00AD2A59" w:rsidRDefault="007C1424" w:rsidP="007C1424">
      <w:pPr>
        <w:rPr>
          <w:b/>
          <w:bCs/>
          <w:lang w:val="en-US"/>
        </w:rPr>
      </w:pPr>
      <w:r w:rsidRPr="00AD2A59">
        <w:rPr>
          <w:b/>
          <w:bCs/>
          <w:lang w:val="en-US"/>
        </w:rPr>
        <w:lastRenderedPageBreak/>
        <w:t>References</w:t>
      </w:r>
    </w:p>
    <w:p w14:paraId="51496EE3" w14:textId="77777777" w:rsidR="00AD2A59" w:rsidRPr="00AD2A59" w:rsidRDefault="00AD2A59" w:rsidP="00AD2A59">
      <w:pPr>
        <w:pStyle w:val="Bibliography"/>
        <w:rPr>
          <w:rFonts w:ascii="Aptos" w:hAnsi="Aptos"/>
        </w:rPr>
      </w:pPr>
      <w:r>
        <w:rPr>
          <w:lang w:val="en-US"/>
        </w:rPr>
        <w:fldChar w:fldCharType="begin"/>
      </w:r>
      <w:r>
        <w:rPr>
          <w:lang w:val="en-US"/>
        </w:rPr>
        <w:instrText xml:space="preserve"> ADDIN ZOTERO_BIBL {"uncited":[],"omitted":[],"custom":[]} CSL_BIBLIOGRAPHY </w:instrText>
      </w:r>
      <w:r>
        <w:rPr>
          <w:lang w:val="en-US"/>
        </w:rPr>
        <w:fldChar w:fldCharType="separate"/>
      </w:r>
      <w:r w:rsidRPr="00AD2A59">
        <w:rPr>
          <w:rFonts w:ascii="Aptos" w:hAnsi="Aptos"/>
        </w:rPr>
        <w:t xml:space="preserve">Jarlstrup, N.S. </w:t>
      </w:r>
      <w:r w:rsidRPr="00AD2A59">
        <w:rPr>
          <w:rFonts w:ascii="Aptos" w:hAnsi="Aptos"/>
          <w:i/>
          <w:iCs/>
        </w:rPr>
        <w:t>et al.</w:t>
      </w:r>
      <w:r w:rsidRPr="00AD2A59">
        <w:rPr>
          <w:rFonts w:ascii="Aptos" w:hAnsi="Aptos"/>
        </w:rPr>
        <w:t xml:space="preserve"> (2018) ‘International Approaches to Tobacco Use Cessation Programs and Policy in Adolescents and Young Adults: Denmark’, </w:t>
      </w:r>
      <w:r w:rsidRPr="00AD2A59">
        <w:rPr>
          <w:rFonts w:ascii="Aptos" w:hAnsi="Aptos"/>
          <w:i/>
          <w:iCs/>
        </w:rPr>
        <w:t>Current Addiction Reports</w:t>
      </w:r>
      <w:r w:rsidRPr="00AD2A59">
        <w:rPr>
          <w:rFonts w:ascii="Aptos" w:hAnsi="Aptos"/>
        </w:rPr>
        <w:t>, 5(1), pp. 42–53. Available at: https://doi.org/10.1007/s40429-018-0187-x.</w:t>
      </w:r>
    </w:p>
    <w:p w14:paraId="092FD176" w14:textId="77777777" w:rsidR="00AD2A59" w:rsidRPr="00AD2A59" w:rsidRDefault="00AD2A59" w:rsidP="00AD2A59">
      <w:pPr>
        <w:pStyle w:val="Bibliography"/>
        <w:rPr>
          <w:rFonts w:ascii="Aptos" w:hAnsi="Aptos"/>
        </w:rPr>
      </w:pPr>
      <w:r w:rsidRPr="00AD2A59">
        <w:rPr>
          <w:rFonts w:ascii="Aptos" w:hAnsi="Aptos"/>
        </w:rPr>
        <w:t xml:space="preserve">Kinsella, K. (1992) ‘Changes in life expectancy 1900–1990’, </w:t>
      </w:r>
      <w:r w:rsidRPr="00AD2A59">
        <w:rPr>
          <w:rFonts w:ascii="Aptos" w:hAnsi="Aptos"/>
          <w:i/>
          <w:iCs/>
        </w:rPr>
        <w:t>The American Journal of Clinical Nutrition</w:t>
      </w:r>
      <w:r w:rsidRPr="00AD2A59">
        <w:rPr>
          <w:rFonts w:ascii="Aptos" w:hAnsi="Aptos"/>
        </w:rPr>
        <w:t>, 55(6), pp. 1196S-1202S. Available at: https://doi.org/10.1093/ajcn/55.6.1196S.</w:t>
      </w:r>
    </w:p>
    <w:p w14:paraId="0A834AED" w14:textId="77777777" w:rsidR="00AD2A59" w:rsidRPr="00AD2A59" w:rsidRDefault="00AD2A59" w:rsidP="00AD2A59">
      <w:pPr>
        <w:pStyle w:val="Bibliography"/>
        <w:rPr>
          <w:rFonts w:ascii="Aptos" w:hAnsi="Aptos"/>
        </w:rPr>
      </w:pPr>
      <w:r w:rsidRPr="00AD2A59">
        <w:rPr>
          <w:rFonts w:ascii="Aptos" w:hAnsi="Aptos"/>
        </w:rPr>
        <w:t xml:space="preserve">Knudsen, A.K. </w:t>
      </w:r>
      <w:r w:rsidRPr="00AD2A59">
        <w:rPr>
          <w:rFonts w:ascii="Aptos" w:hAnsi="Aptos"/>
          <w:i/>
          <w:iCs/>
        </w:rPr>
        <w:t>et al.</w:t>
      </w:r>
      <w:r w:rsidRPr="00AD2A59">
        <w:rPr>
          <w:rFonts w:ascii="Aptos" w:hAnsi="Aptos"/>
        </w:rPr>
        <w:t xml:space="preserve"> (2019) ‘Life expectancy and disease burden in the Nordic countries: results from the Global Burden of Diseases, Injuries, and Risk Factors Study 2017’, </w:t>
      </w:r>
      <w:r w:rsidRPr="00AD2A59">
        <w:rPr>
          <w:rFonts w:ascii="Aptos" w:hAnsi="Aptos"/>
          <w:i/>
          <w:iCs/>
        </w:rPr>
        <w:t>The Lancet Public Health</w:t>
      </w:r>
      <w:r w:rsidRPr="00AD2A59">
        <w:rPr>
          <w:rFonts w:ascii="Aptos" w:hAnsi="Aptos"/>
        </w:rPr>
        <w:t>, 4(12), pp. e658–e669. Available at: https://doi.org/10.1016/S2468-2667(19)30224-5.</w:t>
      </w:r>
    </w:p>
    <w:p w14:paraId="5E7AAF26" w14:textId="63AC0C5B" w:rsidR="00AD2A59" w:rsidRPr="00AD2A59" w:rsidRDefault="00AD2A59" w:rsidP="007C1424">
      <w:pPr>
        <w:rPr>
          <w:lang w:val="en-US"/>
        </w:rPr>
      </w:pPr>
      <w:r>
        <w:rPr>
          <w:lang w:val="en-US"/>
        </w:rPr>
        <w:fldChar w:fldCharType="end"/>
      </w:r>
    </w:p>
    <w:p w14:paraId="20487BA9" w14:textId="77777777" w:rsidR="00A33B5B" w:rsidRDefault="00A33B5B" w:rsidP="007C1424"/>
    <w:sectPr w:rsidR="00A33B5B" w:rsidSect="007C14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24"/>
    <w:rsid w:val="00026703"/>
    <w:rsid w:val="00040E10"/>
    <w:rsid w:val="00085B31"/>
    <w:rsid w:val="000B6719"/>
    <w:rsid w:val="000C03B6"/>
    <w:rsid w:val="000F19C9"/>
    <w:rsid w:val="0016758C"/>
    <w:rsid w:val="001728DD"/>
    <w:rsid w:val="0019753D"/>
    <w:rsid w:val="001A2961"/>
    <w:rsid w:val="001A4F99"/>
    <w:rsid w:val="001C1964"/>
    <w:rsid w:val="001C34B1"/>
    <w:rsid w:val="002133C4"/>
    <w:rsid w:val="00240055"/>
    <w:rsid w:val="002675A0"/>
    <w:rsid w:val="002D0C56"/>
    <w:rsid w:val="002D3274"/>
    <w:rsid w:val="002F3849"/>
    <w:rsid w:val="002F5DA3"/>
    <w:rsid w:val="0032040C"/>
    <w:rsid w:val="003415AF"/>
    <w:rsid w:val="00347751"/>
    <w:rsid w:val="0035663A"/>
    <w:rsid w:val="003E0DE7"/>
    <w:rsid w:val="00420529"/>
    <w:rsid w:val="00456BE0"/>
    <w:rsid w:val="004731F5"/>
    <w:rsid w:val="004D74A2"/>
    <w:rsid w:val="004F05DA"/>
    <w:rsid w:val="004F5F9E"/>
    <w:rsid w:val="0052117F"/>
    <w:rsid w:val="00522AAE"/>
    <w:rsid w:val="00552972"/>
    <w:rsid w:val="00566C17"/>
    <w:rsid w:val="005B0928"/>
    <w:rsid w:val="005E56EC"/>
    <w:rsid w:val="00672666"/>
    <w:rsid w:val="006C5847"/>
    <w:rsid w:val="006D3D5E"/>
    <w:rsid w:val="006D7BFE"/>
    <w:rsid w:val="006E1323"/>
    <w:rsid w:val="00763988"/>
    <w:rsid w:val="007777B9"/>
    <w:rsid w:val="00794E5C"/>
    <w:rsid w:val="007C1424"/>
    <w:rsid w:val="007C7CA9"/>
    <w:rsid w:val="007D0DB1"/>
    <w:rsid w:val="007D0F41"/>
    <w:rsid w:val="0082658F"/>
    <w:rsid w:val="0088246D"/>
    <w:rsid w:val="00895856"/>
    <w:rsid w:val="008B1039"/>
    <w:rsid w:val="009067B5"/>
    <w:rsid w:val="00924A1F"/>
    <w:rsid w:val="00925F0A"/>
    <w:rsid w:val="00930A2E"/>
    <w:rsid w:val="00930E40"/>
    <w:rsid w:val="0093689F"/>
    <w:rsid w:val="00961390"/>
    <w:rsid w:val="00984D29"/>
    <w:rsid w:val="009A34A6"/>
    <w:rsid w:val="009C3AAE"/>
    <w:rsid w:val="00A07DC3"/>
    <w:rsid w:val="00A1057F"/>
    <w:rsid w:val="00A11DA1"/>
    <w:rsid w:val="00A31117"/>
    <w:rsid w:val="00A33B5B"/>
    <w:rsid w:val="00A67373"/>
    <w:rsid w:val="00AD2A59"/>
    <w:rsid w:val="00AE0930"/>
    <w:rsid w:val="00B5476A"/>
    <w:rsid w:val="00B718F4"/>
    <w:rsid w:val="00BF6E9F"/>
    <w:rsid w:val="00C21648"/>
    <w:rsid w:val="00C5417C"/>
    <w:rsid w:val="00C700D4"/>
    <w:rsid w:val="00C81542"/>
    <w:rsid w:val="00CC6483"/>
    <w:rsid w:val="00CF7494"/>
    <w:rsid w:val="00DA6779"/>
    <w:rsid w:val="00DD1218"/>
    <w:rsid w:val="00E14092"/>
    <w:rsid w:val="00E249B6"/>
    <w:rsid w:val="00E54404"/>
    <w:rsid w:val="00E94BD0"/>
    <w:rsid w:val="00ED5901"/>
    <w:rsid w:val="00ED680D"/>
    <w:rsid w:val="00EF6578"/>
    <w:rsid w:val="00F05C44"/>
    <w:rsid w:val="00F56025"/>
    <w:rsid w:val="00FA77B3"/>
    <w:rsid w:val="00FE1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4E8D"/>
  <w15:chartTrackingRefBased/>
  <w15:docId w15:val="{FB937328-3E6C-FB47-9CF0-B6F7A21A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24"/>
    <w:rPr>
      <w:rFonts w:eastAsiaTheme="majorEastAsia" w:cstheme="majorBidi"/>
      <w:color w:val="272727" w:themeColor="text1" w:themeTint="D8"/>
    </w:rPr>
  </w:style>
  <w:style w:type="paragraph" w:styleId="Title">
    <w:name w:val="Title"/>
    <w:basedOn w:val="Normal"/>
    <w:next w:val="Normal"/>
    <w:link w:val="TitleChar"/>
    <w:uiPriority w:val="10"/>
    <w:qFormat/>
    <w:rsid w:val="007C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24"/>
    <w:pPr>
      <w:spacing w:before="160"/>
      <w:jc w:val="center"/>
    </w:pPr>
    <w:rPr>
      <w:i/>
      <w:iCs/>
      <w:color w:val="404040" w:themeColor="text1" w:themeTint="BF"/>
    </w:rPr>
  </w:style>
  <w:style w:type="character" w:customStyle="1" w:styleId="QuoteChar">
    <w:name w:val="Quote Char"/>
    <w:basedOn w:val="DefaultParagraphFont"/>
    <w:link w:val="Quote"/>
    <w:uiPriority w:val="29"/>
    <w:rsid w:val="007C1424"/>
    <w:rPr>
      <w:i/>
      <w:iCs/>
      <w:color w:val="404040" w:themeColor="text1" w:themeTint="BF"/>
    </w:rPr>
  </w:style>
  <w:style w:type="paragraph" w:styleId="ListParagraph">
    <w:name w:val="List Paragraph"/>
    <w:basedOn w:val="Normal"/>
    <w:uiPriority w:val="34"/>
    <w:qFormat/>
    <w:rsid w:val="007C1424"/>
    <w:pPr>
      <w:ind w:left="720"/>
      <w:contextualSpacing/>
    </w:pPr>
  </w:style>
  <w:style w:type="character" w:styleId="IntenseEmphasis">
    <w:name w:val="Intense Emphasis"/>
    <w:basedOn w:val="DefaultParagraphFont"/>
    <w:uiPriority w:val="21"/>
    <w:qFormat/>
    <w:rsid w:val="007C1424"/>
    <w:rPr>
      <w:i/>
      <w:iCs/>
      <w:color w:val="0F4761" w:themeColor="accent1" w:themeShade="BF"/>
    </w:rPr>
  </w:style>
  <w:style w:type="paragraph" w:styleId="IntenseQuote">
    <w:name w:val="Intense Quote"/>
    <w:basedOn w:val="Normal"/>
    <w:next w:val="Normal"/>
    <w:link w:val="IntenseQuoteChar"/>
    <w:uiPriority w:val="30"/>
    <w:qFormat/>
    <w:rsid w:val="007C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24"/>
    <w:rPr>
      <w:i/>
      <w:iCs/>
      <w:color w:val="0F4761" w:themeColor="accent1" w:themeShade="BF"/>
    </w:rPr>
  </w:style>
  <w:style w:type="character" w:styleId="IntenseReference">
    <w:name w:val="Intense Reference"/>
    <w:basedOn w:val="DefaultParagraphFont"/>
    <w:uiPriority w:val="32"/>
    <w:qFormat/>
    <w:rsid w:val="007C1424"/>
    <w:rPr>
      <w:b/>
      <w:bCs/>
      <w:smallCaps/>
      <w:color w:val="0F4761" w:themeColor="accent1" w:themeShade="BF"/>
      <w:spacing w:val="5"/>
    </w:rPr>
  </w:style>
  <w:style w:type="character" w:styleId="Hyperlink">
    <w:name w:val="Hyperlink"/>
    <w:basedOn w:val="DefaultParagraphFont"/>
    <w:uiPriority w:val="99"/>
    <w:unhideWhenUsed/>
    <w:rsid w:val="002D0C56"/>
    <w:rPr>
      <w:color w:val="467886" w:themeColor="hyperlink"/>
      <w:u w:val="single"/>
    </w:rPr>
  </w:style>
  <w:style w:type="character" w:styleId="UnresolvedMention">
    <w:name w:val="Unresolved Mention"/>
    <w:basedOn w:val="DefaultParagraphFont"/>
    <w:uiPriority w:val="99"/>
    <w:semiHidden/>
    <w:unhideWhenUsed/>
    <w:rsid w:val="002D0C56"/>
    <w:rPr>
      <w:color w:val="605E5C"/>
      <w:shd w:val="clear" w:color="auto" w:fill="E1DFDD"/>
    </w:rPr>
  </w:style>
  <w:style w:type="paragraph" w:styleId="Bibliography">
    <w:name w:val="Bibliography"/>
    <w:basedOn w:val="Normal"/>
    <w:next w:val="Normal"/>
    <w:uiPriority w:val="37"/>
    <w:unhideWhenUsed/>
    <w:rsid w:val="00AD2A5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dc:creator>
  <cp:keywords/>
  <dc:description/>
  <cp:lastModifiedBy>Hannah Z</cp:lastModifiedBy>
  <cp:revision>328</cp:revision>
  <dcterms:created xsi:type="dcterms:W3CDTF">2025-03-20T05:47:00Z</dcterms:created>
  <dcterms:modified xsi:type="dcterms:W3CDTF">2025-03-26T20:58:00Z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id="dqSoDJPM"/&gt;&lt;style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