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585C1" w14:textId="19564D3C" w:rsidR="007C1424" w:rsidRDefault="007C1424" w:rsidP="007C1424">
      <w:pPr>
        <w:rPr>
          <w:b/>
          <w:bCs/>
          <w:lang w:val="en-US"/>
        </w:rPr>
      </w:pPr>
      <w:r w:rsidRPr="00672666">
        <w:rPr>
          <w:b/>
          <w:bCs/>
          <w:lang w:val="en-US"/>
        </w:rPr>
        <w:t>DEMO2002 W</w:t>
      </w:r>
      <w:r w:rsidR="000B580E">
        <w:rPr>
          <w:b/>
          <w:bCs/>
          <w:lang w:val="en-US"/>
        </w:rPr>
        <w:t>6</w:t>
      </w:r>
      <w:r w:rsidRPr="00672666">
        <w:rPr>
          <w:b/>
          <w:bCs/>
          <w:lang w:val="en-US"/>
        </w:rPr>
        <w:t xml:space="preserve"> Tutorial </w:t>
      </w:r>
    </w:p>
    <w:p w14:paraId="23ABEAAA" w14:textId="5FAC5DD4" w:rsidR="004F7F56" w:rsidRDefault="004F7F56" w:rsidP="00275E1A">
      <w:pPr>
        <w:jc w:val="center"/>
        <w:rPr>
          <w:b/>
          <w:bCs/>
          <w:lang w:val="en-AU"/>
        </w:rPr>
      </w:pPr>
      <w:r>
        <w:rPr>
          <w:noProof/>
          <w:sz w:val="22"/>
          <w:szCs w:val="22"/>
          <w:lang w:val="en-US"/>
        </w:rPr>
        <w:drawing>
          <wp:inline distT="0" distB="0" distL="0" distR="0" wp14:anchorId="3DF48629" wp14:editId="5D72F1CD">
            <wp:extent cx="2926584" cy="3019425"/>
            <wp:effectExtent l="0" t="0" r="7620" b="0"/>
            <wp:docPr id="1874061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1408"/>
                    <a:stretch/>
                  </pic:blipFill>
                  <pic:spPr bwMode="auto">
                    <a:xfrm>
                      <a:off x="0" y="0"/>
                      <a:ext cx="2941327" cy="303463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2"/>
          <w:szCs w:val="22"/>
          <w:lang w:val="en-US"/>
        </w:rPr>
        <w:drawing>
          <wp:inline distT="0" distB="0" distL="0" distR="0" wp14:anchorId="104C2594" wp14:editId="7498AAF3">
            <wp:extent cx="2934269" cy="3047369"/>
            <wp:effectExtent l="0" t="0" r="0" b="635"/>
            <wp:docPr id="1648642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823"/>
                    <a:stretch/>
                  </pic:blipFill>
                  <pic:spPr bwMode="auto">
                    <a:xfrm>
                      <a:off x="0" y="0"/>
                      <a:ext cx="2966520" cy="3080863"/>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2"/>
          <w:szCs w:val="22"/>
          <w:lang w:val="en-US"/>
        </w:rPr>
        <w:drawing>
          <wp:inline distT="0" distB="0" distL="0" distR="0" wp14:anchorId="34E9B13D" wp14:editId="2A2EFD61">
            <wp:extent cx="2562225" cy="2677560"/>
            <wp:effectExtent l="0" t="0" r="0" b="8890"/>
            <wp:docPr id="1040153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301"/>
                    <a:stretch/>
                  </pic:blipFill>
                  <pic:spPr bwMode="auto">
                    <a:xfrm>
                      <a:off x="0" y="0"/>
                      <a:ext cx="2602083" cy="2719212"/>
                    </a:xfrm>
                    <a:prstGeom prst="rect">
                      <a:avLst/>
                    </a:prstGeom>
                    <a:noFill/>
                    <a:ln>
                      <a:noFill/>
                    </a:ln>
                    <a:extLst>
                      <a:ext uri="{53640926-AAD7-44D8-BBD7-CCE9431645EC}">
                        <a14:shadowObscured xmlns:a14="http://schemas.microsoft.com/office/drawing/2010/main"/>
                      </a:ext>
                    </a:extLst>
                  </pic:spPr>
                </pic:pic>
              </a:graphicData>
            </a:graphic>
          </wp:inline>
        </w:drawing>
      </w:r>
      <w:r>
        <w:rPr>
          <w:b/>
          <w:bCs/>
          <w:lang w:val="en-AU"/>
        </w:rPr>
        <w:br w:type="column"/>
      </w:r>
      <w:r>
        <w:rPr>
          <w:b/>
          <w:bCs/>
          <w:lang w:val="en-AU"/>
        </w:rPr>
        <w:t xml:space="preserve"> </w:t>
      </w:r>
    </w:p>
    <w:p w14:paraId="62707C41" w14:textId="7AB198FE" w:rsidR="003722F3" w:rsidRDefault="0059666C" w:rsidP="004F7F56">
      <w:pPr>
        <w:rPr>
          <w:lang w:val="en-AU"/>
        </w:rPr>
      </w:pPr>
      <w:r>
        <w:rPr>
          <w:lang w:val="en-AU"/>
        </w:rPr>
        <w:t>In the previous</w:t>
      </w:r>
      <w:r w:rsidR="008D3EE3">
        <w:rPr>
          <w:lang w:val="en-AU"/>
        </w:rPr>
        <w:t xml:space="preserve"> plots, we have displayed the internal migration flows </w:t>
      </w:r>
      <w:r w:rsidR="00172F03">
        <w:rPr>
          <w:lang w:val="en-AU"/>
        </w:rPr>
        <w:t xml:space="preserve">in Australia (2011-16) </w:t>
      </w:r>
      <w:r w:rsidR="008D3EE3">
        <w:rPr>
          <w:lang w:val="en-AU"/>
        </w:rPr>
        <w:t xml:space="preserve">for </w:t>
      </w:r>
      <w:r w:rsidR="00F175BF">
        <w:rPr>
          <w:lang w:val="en-AU"/>
        </w:rPr>
        <w:t>three</w:t>
      </w:r>
      <w:r w:rsidR="008D3EE3">
        <w:rPr>
          <w:lang w:val="en-AU"/>
        </w:rPr>
        <w:t xml:space="preserve"> age demographics: 0-9 years, 20-29 years, and 80-89 years. </w:t>
      </w:r>
      <w:r w:rsidR="00BB4E31">
        <w:rPr>
          <w:lang w:val="en-AU"/>
        </w:rPr>
        <w:t xml:space="preserve">This lets us examine the migration behaviour for infant and very young children, young adults, and elders. </w:t>
      </w:r>
      <w:r w:rsidR="00903CC1">
        <w:rPr>
          <w:lang w:val="en-AU"/>
        </w:rPr>
        <w:t xml:space="preserve">As we might expect from learning about the age-specific migration patterns, </w:t>
      </w:r>
      <w:r w:rsidR="00B716E8">
        <w:rPr>
          <w:lang w:val="en-AU"/>
        </w:rPr>
        <w:t>young adults</w:t>
      </w:r>
      <w:r w:rsidR="000F18E7">
        <w:rPr>
          <w:lang w:val="en-AU"/>
        </w:rPr>
        <w:t xml:space="preserve"> aged 20-29</w:t>
      </w:r>
      <w:r w:rsidR="00B716E8">
        <w:rPr>
          <w:lang w:val="en-AU"/>
        </w:rPr>
        <w:t xml:space="preserve"> in Australia had the greatest volume of internal migration during the five-year period</w:t>
      </w:r>
      <w:r w:rsidR="00160397">
        <w:rPr>
          <w:lang w:val="en-AU"/>
        </w:rPr>
        <w:t xml:space="preserve"> between the three demographics.</w:t>
      </w:r>
      <w:r w:rsidR="003722F3">
        <w:rPr>
          <w:lang w:val="en-AU"/>
        </w:rPr>
        <w:t xml:space="preserve"> I</w:t>
      </w:r>
      <w:r w:rsidR="003722F3">
        <w:rPr>
          <w:lang w:val="en-AU"/>
        </w:rPr>
        <w:t xml:space="preserve">n the 20-29 years plot, in-migrants make up a marginally larger portion of the flows for the ACT and VIC relative to the 0-9 and 80-89 graphs. This might be explained by young individuals moving interstate to attend prominent universities, such as VIC’s </w:t>
      </w:r>
      <w:proofErr w:type="spellStart"/>
      <w:r w:rsidR="003722F3">
        <w:rPr>
          <w:lang w:val="en-AU"/>
        </w:rPr>
        <w:t>UniMelb</w:t>
      </w:r>
      <w:proofErr w:type="spellEnd"/>
      <w:r w:rsidR="003722F3">
        <w:rPr>
          <w:lang w:val="en-AU"/>
        </w:rPr>
        <w:t xml:space="preserve"> or Monash University, and ACT’s ANU. While NSW also possesses prestigious educational institutions, this region is vast and contains</w:t>
      </w:r>
      <w:r w:rsidR="00C858E7">
        <w:rPr>
          <w:lang w:val="en-AU"/>
        </w:rPr>
        <w:t xml:space="preserve"> </w:t>
      </w:r>
      <w:r w:rsidR="008A63BD">
        <w:rPr>
          <w:lang w:val="en-AU"/>
        </w:rPr>
        <w:t>abundant</w:t>
      </w:r>
      <w:r w:rsidR="003722F3">
        <w:rPr>
          <w:lang w:val="en-AU"/>
        </w:rPr>
        <w:t xml:space="preserve"> employment opportunities. Considering the large age interval in consideration (10 years), employment-motivated migration may drown out education-related movement in the 20-29 years plot.</w:t>
      </w:r>
    </w:p>
    <w:p w14:paraId="339BFD85" w14:textId="09A0CFB0" w:rsidR="007F2625" w:rsidRDefault="00367FC7" w:rsidP="008A63BD">
      <w:pPr>
        <w:rPr>
          <w:lang w:val="en-AU"/>
        </w:rPr>
      </w:pPr>
      <w:r>
        <w:rPr>
          <w:lang w:val="en-AU"/>
        </w:rPr>
        <w:t xml:space="preserve">Unfortunately, the </w:t>
      </w:r>
      <w:r w:rsidR="00336D54">
        <w:rPr>
          <w:lang w:val="en-AU"/>
        </w:rPr>
        <w:t xml:space="preserve">similar </w:t>
      </w:r>
      <w:r w:rsidR="00927EE0">
        <w:rPr>
          <w:lang w:val="en-AU"/>
        </w:rPr>
        <w:t xml:space="preserve">appearances </w:t>
      </w:r>
      <w:r w:rsidR="000A766A">
        <w:rPr>
          <w:lang w:val="en-AU"/>
        </w:rPr>
        <w:t>of the chord diagrams are deceptive in making scale comparisons unless one closely examines the tick marks</w:t>
      </w:r>
      <w:r w:rsidR="00B96C28">
        <w:rPr>
          <w:lang w:val="en-AU"/>
        </w:rPr>
        <w:t>.</w:t>
      </w:r>
      <w:r w:rsidR="00610B6B">
        <w:rPr>
          <w:lang w:val="en-AU"/>
        </w:rPr>
        <w:t xml:space="preserve"> </w:t>
      </w:r>
      <w:r w:rsidR="008A63BD">
        <w:rPr>
          <w:lang w:val="en-AU"/>
        </w:rPr>
        <w:t xml:space="preserve">In </w:t>
      </w:r>
      <w:r w:rsidR="00197DAA">
        <w:rPr>
          <w:lang w:val="en-AU"/>
        </w:rPr>
        <w:t>fact</w:t>
      </w:r>
      <w:r w:rsidR="00074B5B">
        <w:rPr>
          <w:lang w:val="en-AU"/>
        </w:rPr>
        <w:t>,</w:t>
      </w:r>
      <w:r w:rsidR="00197DAA">
        <w:rPr>
          <w:lang w:val="en-AU"/>
        </w:rPr>
        <w:t xml:space="preserve"> the migration flows for 80-89 are miniscule compared to 0-9 or 20-29. </w:t>
      </w:r>
      <w:r w:rsidR="00511275">
        <w:rPr>
          <w:lang w:val="en-AU"/>
        </w:rPr>
        <w:t xml:space="preserve">For example, </w:t>
      </w:r>
      <w:r w:rsidR="008F6F1A">
        <w:rPr>
          <w:lang w:val="en-AU"/>
        </w:rPr>
        <w:t xml:space="preserve">across all states, </w:t>
      </w:r>
      <w:r w:rsidR="00511275">
        <w:rPr>
          <w:lang w:val="en-AU"/>
        </w:rPr>
        <w:t xml:space="preserve">there is a gross migration of </w:t>
      </w:r>
      <w:r w:rsidR="00C447A0" w:rsidRPr="00C447A0">
        <w:rPr>
          <w:lang w:val="en-AU"/>
        </w:rPr>
        <w:t>8</w:t>
      </w:r>
      <w:r w:rsidR="00425D8D">
        <w:rPr>
          <w:lang w:val="en-AU"/>
        </w:rPr>
        <w:t>,</w:t>
      </w:r>
      <w:r w:rsidR="00C447A0" w:rsidRPr="00C447A0">
        <w:rPr>
          <w:lang w:val="en-AU"/>
        </w:rPr>
        <w:t>666</w:t>
      </w:r>
      <w:r w:rsidR="00C447A0">
        <w:rPr>
          <w:lang w:val="en-AU"/>
        </w:rPr>
        <w:t xml:space="preserve"> </w:t>
      </w:r>
      <w:r w:rsidR="00511275">
        <w:rPr>
          <w:lang w:val="en-AU"/>
        </w:rPr>
        <w:t>people</w:t>
      </w:r>
      <w:r w:rsidR="0095752D">
        <w:rPr>
          <w:lang w:val="en-AU"/>
        </w:rPr>
        <w:t xml:space="preserve"> for those aged 80-89</w:t>
      </w:r>
      <w:r w:rsidR="00511275">
        <w:rPr>
          <w:lang w:val="en-AU"/>
        </w:rPr>
        <w:t xml:space="preserve">, compared to </w:t>
      </w:r>
      <w:r w:rsidR="00674910" w:rsidRPr="006E6049">
        <w:rPr>
          <w:lang w:val="en-AU"/>
        </w:rPr>
        <w:t>63</w:t>
      </w:r>
      <w:r w:rsidR="00425D8D">
        <w:rPr>
          <w:lang w:val="en-AU"/>
        </w:rPr>
        <w:t>,</w:t>
      </w:r>
      <w:r w:rsidR="00674910" w:rsidRPr="006E6049">
        <w:rPr>
          <w:lang w:val="en-AU"/>
        </w:rPr>
        <w:t>682</w:t>
      </w:r>
      <w:r w:rsidR="00674910">
        <w:rPr>
          <w:lang w:val="en-AU"/>
        </w:rPr>
        <w:t xml:space="preserve"> (for 0-9 years)</w:t>
      </w:r>
      <w:r w:rsidR="00674910">
        <w:rPr>
          <w:lang w:val="en-AU"/>
        </w:rPr>
        <w:t xml:space="preserve"> and </w:t>
      </w:r>
      <w:r w:rsidR="001D4D0F" w:rsidRPr="001D4D0F">
        <w:rPr>
          <w:lang w:val="en-AU"/>
        </w:rPr>
        <w:t>193</w:t>
      </w:r>
      <w:r w:rsidR="00425D8D">
        <w:rPr>
          <w:lang w:val="en-AU"/>
        </w:rPr>
        <w:t>,</w:t>
      </w:r>
      <w:r w:rsidR="001D4D0F" w:rsidRPr="001D4D0F">
        <w:rPr>
          <w:lang w:val="en-AU"/>
        </w:rPr>
        <w:t>335</w:t>
      </w:r>
      <w:r w:rsidR="001D4D0F">
        <w:rPr>
          <w:lang w:val="en-AU"/>
        </w:rPr>
        <w:t xml:space="preserve"> </w:t>
      </w:r>
      <w:r w:rsidR="00070D4B">
        <w:rPr>
          <w:lang w:val="en-AU"/>
        </w:rPr>
        <w:t>(for 20-29 years)</w:t>
      </w:r>
      <w:r w:rsidR="00674910">
        <w:rPr>
          <w:lang w:val="en-AU"/>
        </w:rPr>
        <w:t>.</w:t>
      </w:r>
    </w:p>
    <w:p w14:paraId="03297CDA" w14:textId="3CDB9950" w:rsidR="006A0641" w:rsidRDefault="006A0641" w:rsidP="008A63BD">
      <w:pPr>
        <w:rPr>
          <w:lang w:val="en-AU"/>
        </w:rPr>
      </w:pPr>
      <w:r>
        <w:rPr>
          <w:lang w:val="en-AU"/>
        </w:rPr>
        <w:t>Despite the importance of regional-level migration</w:t>
      </w:r>
      <w:r w:rsidR="0047370E">
        <w:rPr>
          <w:lang w:val="en-AU"/>
        </w:rPr>
        <w:t xml:space="preserve"> in facilitating skills and labour exchange</w:t>
      </w:r>
      <w:r>
        <w:rPr>
          <w:lang w:val="en-AU"/>
        </w:rPr>
        <w:t xml:space="preserve">, </w:t>
      </w:r>
      <w:r w:rsidR="002C2340">
        <w:rPr>
          <w:lang w:val="en-AU"/>
        </w:rPr>
        <w:t xml:space="preserve">studies have highlighted its </w:t>
      </w:r>
      <w:r w:rsidR="00432D56">
        <w:rPr>
          <w:lang w:val="en-AU"/>
        </w:rPr>
        <w:t>deterioration</w:t>
      </w:r>
      <w:r w:rsidR="002C2340">
        <w:rPr>
          <w:lang w:val="en-AU"/>
        </w:rPr>
        <w:t xml:space="preserve"> in recent years. </w:t>
      </w:r>
      <w:r w:rsidR="00E36ABC">
        <w:rPr>
          <w:lang w:val="en-AU"/>
        </w:rPr>
        <w:fldChar w:fldCharType="begin"/>
      </w:r>
      <w:r w:rsidR="00E36ABC">
        <w:rPr>
          <w:lang w:val="en-AU"/>
        </w:rPr>
        <w:instrText xml:space="preserve"> ADDIN ZOTERO_ITEM CSL_CITATION {"citationID":"UOiIb4cl","properties":{"formattedCitation":"(Kalemba {\\i{}et al.}, 2022)","plainCitation":"(Kalemba et al., 2022)","noteIndex":0},"citationItems":[{"id":226,"uris":["http://zotero.org/users/8027965/items/A2AKIVW5"],"itemData":{"id":226,"type":"article-journal","abstract":"Abstract\n            The last few decades have seen the intensity of internal migration decline in Australia and other advanced economies including the United States. Recent evidence suggests that changes in the composition of the population alone do not account for this persistent downward trend. This has led migration scholars to suspect that more profound behavioural changes driven by social, economic, and technological transformations are at play and that shifts in migration behaviour are likely to be reflected in changes in reasons for migration. We use data from the Household, Income and Labour Dynamics in Australia survey to shed new light on the factors driving the decline in internal migration in Australia between 2002 and 2018. This is done by examining annual trends in self-reported reasons for intrastate  and interstate migration and applying a series of pooled logistic regressions. Results reveal a decline across all reasons for migration, and not only employment-related migration contrary to explanations proposed in the extant literature. The decline in employment-related migration does not appear to be the result of a rise in alternative forms of mobility such as teleworking or substitution with inter-industry or occupation mobility. Furthermore, we also find that the negative effect of duration of residence has increased for family-related migration. Collectively, these findings suggest that behavioural change, particularly increased place attachment, may have contributed to the decline in internal migration.","container-title":"Journal of Population Research","DOI":"10.1007/s12546-022-09285-5","ISSN":"1443-2447, 1835-9469","issue":"3","journalAbbreviation":"J Pop Research","language":"en","page":"279-313","source":"DOI.org (Crossref)","title":"Has the decline in the intensity of internal migration been accompanied by changes in reasons for migration?","volume":"39","author":[{"family":"Kalemba","given":"Sunganani V."},{"family":"Bernard","given":"Aude"},{"family":"Corcoran","given":"Jonathan"},{"family":"Charles-Edwards","given":"Elin"}],"issued":{"date-parts":[["2022",9]]},"citation-key":"kalemba2022"}}],"schema":"https://github.com/citation-style-language/schema/raw/master/csl-citation.json"} </w:instrText>
      </w:r>
      <w:r w:rsidR="00E36ABC">
        <w:rPr>
          <w:lang w:val="en-AU"/>
        </w:rPr>
        <w:fldChar w:fldCharType="separate"/>
      </w:r>
      <w:r w:rsidR="00E36ABC" w:rsidRPr="00E36ABC">
        <w:rPr>
          <w:rFonts w:ascii="Aptos" w:hAnsi="Aptos" w:cs="Times New Roman"/>
          <w:kern w:val="0"/>
        </w:rPr>
        <w:t xml:space="preserve">Kalemba </w:t>
      </w:r>
      <w:r w:rsidR="00E36ABC" w:rsidRPr="00E36ABC">
        <w:rPr>
          <w:rFonts w:ascii="Aptos" w:hAnsi="Aptos" w:cs="Times New Roman"/>
          <w:i/>
          <w:iCs/>
          <w:kern w:val="0"/>
        </w:rPr>
        <w:t>et al.</w:t>
      </w:r>
      <w:r w:rsidR="00E36ABC" w:rsidRPr="00E36ABC">
        <w:rPr>
          <w:rFonts w:ascii="Aptos" w:hAnsi="Aptos" w:cs="Times New Roman"/>
          <w:kern w:val="0"/>
        </w:rPr>
        <w:t xml:space="preserve"> </w:t>
      </w:r>
      <w:r w:rsidR="005B41C1">
        <w:rPr>
          <w:rFonts w:ascii="Aptos" w:hAnsi="Aptos" w:cs="Times New Roman"/>
          <w:kern w:val="0"/>
        </w:rPr>
        <w:t>(</w:t>
      </w:r>
      <w:r w:rsidR="00E36ABC" w:rsidRPr="00E36ABC">
        <w:rPr>
          <w:rFonts w:ascii="Aptos" w:hAnsi="Aptos" w:cs="Times New Roman"/>
          <w:kern w:val="0"/>
        </w:rPr>
        <w:t>2022)</w:t>
      </w:r>
      <w:r w:rsidR="00E36ABC">
        <w:rPr>
          <w:lang w:val="en-AU"/>
        </w:rPr>
        <w:fldChar w:fldCharType="end"/>
      </w:r>
      <w:r w:rsidR="00E36ABC">
        <w:rPr>
          <w:lang w:val="en-AU"/>
        </w:rPr>
        <w:t xml:space="preserve"> observed the decline across all migration incentives; they</w:t>
      </w:r>
      <w:r w:rsidR="003A63B1">
        <w:rPr>
          <w:lang w:val="en-AU"/>
        </w:rPr>
        <w:t xml:space="preserve"> </w:t>
      </w:r>
      <w:r w:rsidR="00CF40C3">
        <w:rPr>
          <w:lang w:val="en-AU"/>
        </w:rPr>
        <w:t>undermined</w:t>
      </w:r>
      <w:r w:rsidR="003A63B1">
        <w:rPr>
          <w:lang w:val="en-AU"/>
        </w:rPr>
        <w:t xml:space="preserve"> the </w:t>
      </w:r>
      <w:r w:rsidR="003D122D">
        <w:rPr>
          <w:lang w:val="en-AU"/>
        </w:rPr>
        <w:t>explanation</w:t>
      </w:r>
      <w:r w:rsidR="003A63B1">
        <w:rPr>
          <w:lang w:val="en-AU"/>
        </w:rPr>
        <w:t xml:space="preserve"> </w:t>
      </w:r>
      <w:r w:rsidR="00C23497">
        <w:rPr>
          <w:lang w:val="en-AU"/>
        </w:rPr>
        <w:t xml:space="preserve">that technological solutions substituted </w:t>
      </w:r>
      <w:r w:rsidR="00361557">
        <w:rPr>
          <w:lang w:val="en-AU"/>
        </w:rPr>
        <w:t>migration</w:t>
      </w:r>
      <w:r w:rsidR="00E36ABC">
        <w:rPr>
          <w:lang w:val="en-AU"/>
        </w:rPr>
        <w:t xml:space="preserve"> and suggested that behavioural changes</w:t>
      </w:r>
      <w:r w:rsidR="00A36708">
        <w:rPr>
          <w:lang w:val="en-AU"/>
        </w:rPr>
        <w:t xml:space="preserve"> like place attachment</w:t>
      </w:r>
      <w:r w:rsidR="00E36ABC">
        <w:rPr>
          <w:lang w:val="en-AU"/>
        </w:rPr>
        <w:t xml:space="preserve"> may have influenced lower social mobility</w:t>
      </w:r>
      <w:r w:rsidR="00351A00">
        <w:rPr>
          <w:lang w:val="en-AU"/>
        </w:rPr>
        <w:t xml:space="preserve">. </w:t>
      </w:r>
    </w:p>
    <w:p w14:paraId="02544C29" w14:textId="77777777" w:rsidR="006A0641" w:rsidRPr="006E6049" w:rsidRDefault="006A0641" w:rsidP="008A63BD">
      <w:pPr>
        <w:rPr>
          <w:lang w:val="en-AU"/>
        </w:rPr>
      </w:pPr>
    </w:p>
    <w:p w14:paraId="77526885" w14:textId="161CDAED" w:rsidR="004F7F56" w:rsidRPr="004F7F56" w:rsidRDefault="004F7F56" w:rsidP="004F7F56">
      <w:pPr>
        <w:rPr>
          <w:lang w:val="en-AU"/>
        </w:rPr>
      </w:pPr>
    </w:p>
    <w:p w14:paraId="56BD5A81" w14:textId="693BE657" w:rsidR="00826667" w:rsidRPr="004F7F56" w:rsidRDefault="00826667" w:rsidP="00B82BB4">
      <w:pPr>
        <w:rPr>
          <w:b/>
          <w:bCs/>
          <w:lang w:val="en-AU"/>
        </w:rPr>
        <w:sectPr w:rsidR="00826667" w:rsidRPr="004F7F56" w:rsidSect="00826667">
          <w:type w:val="continuous"/>
          <w:pgSz w:w="12240" w:h="15840"/>
          <w:pgMar w:top="720" w:right="720" w:bottom="720" w:left="720" w:header="720" w:footer="720" w:gutter="0"/>
          <w:cols w:num="2" w:space="720"/>
          <w:noEndnote/>
          <w:docGrid w:linePitch="326"/>
        </w:sectPr>
      </w:pPr>
    </w:p>
    <w:p w14:paraId="0ACB192C" w14:textId="76A84A33" w:rsidR="000B580E" w:rsidRPr="00AD2A59" w:rsidRDefault="000B580E" w:rsidP="007C1424">
      <w:pPr>
        <w:rPr>
          <w:lang w:val="en-US"/>
        </w:rPr>
      </w:pPr>
      <w:r>
        <w:rPr>
          <w:b/>
          <w:bCs/>
          <w:lang w:val="en-US"/>
        </w:rPr>
        <w:t>References</w:t>
      </w:r>
    </w:p>
    <w:p w14:paraId="4435905A" w14:textId="77777777" w:rsidR="00925889" w:rsidRPr="00925889" w:rsidRDefault="00925889" w:rsidP="00925889">
      <w:pPr>
        <w:pStyle w:val="Bibliography"/>
        <w:rPr>
          <w:rFonts w:ascii="Aptos" w:hAnsi="Aptos"/>
        </w:rPr>
      </w:pPr>
      <w:r>
        <w:fldChar w:fldCharType="begin"/>
      </w:r>
      <w:r>
        <w:instrText xml:space="preserve"> ADDIN ZOTERO_BIBL {"uncited":[],"omitted":[],"custom":[]} CSL_BIBLIOGRAPHY </w:instrText>
      </w:r>
      <w:r>
        <w:fldChar w:fldCharType="separate"/>
      </w:r>
      <w:r w:rsidRPr="00925889">
        <w:rPr>
          <w:rFonts w:ascii="Aptos" w:hAnsi="Aptos"/>
        </w:rPr>
        <w:t xml:space="preserve">Kalemba, S.V. </w:t>
      </w:r>
      <w:r w:rsidRPr="00925889">
        <w:rPr>
          <w:rFonts w:ascii="Aptos" w:hAnsi="Aptos"/>
          <w:i/>
          <w:iCs/>
        </w:rPr>
        <w:t>et al.</w:t>
      </w:r>
      <w:r w:rsidRPr="00925889">
        <w:rPr>
          <w:rFonts w:ascii="Aptos" w:hAnsi="Aptos"/>
        </w:rPr>
        <w:t xml:space="preserve"> (2022) ‘Has the decline in the intensity of internal migration been accompanied by changes in reasons for migration?’, </w:t>
      </w:r>
      <w:r w:rsidRPr="00925889">
        <w:rPr>
          <w:rFonts w:ascii="Aptos" w:hAnsi="Aptos"/>
          <w:i/>
          <w:iCs/>
        </w:rPr>
        <w:t>Journal of Population Research</w:t>
      </w:r>
      <w:r w:rsidRPr="00925889">
        <w:rPr>
          <w:rFonts w:ascii="Aptos" w:hAnsi="Aptos"/>
        </w:rPr>
        <w:t>, 39(3), pp. 279–313. Available at: https://doi.org/10.1007/s12546-022-09285-5.</w:t>
      </w:r>
    </w:p>
    <w:p w14:paraId="20487BA9" w14:textId="672F003C" w:rsidR="00A33B5B" w:rsidRDefault="00925889" w:rsidP="007C1424">
      <w:r>
        <w:fldChar w:fldCharType="end"/>
      </w:r>
    </w:p>
    <w:sectPr w:rsidR="00A33B5B" w:rsidSect="00826667">
      <w:type w:val="continuous"/>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24"/>
    <w:rsid w:val="00022A41"/>
    <w:rsid w:val="00026703"/>
    <w:rsid w:val="00040E10"/>
    <w:rsid w:val="000454F7"/>
    <w:rsid w:val="00050103"/>
    <w:rsid w:val="000529E5"/>
    <w:rsid w:val="00070D4B"/>
    <w:rsid w:val="00074B5B"/>
    <w:rsid w:val="0008245E"/>
    <w:rsid w:val="00085B31"/>
    <w:rsid w:val="00091383"/>
    <w:rsid w:val="000923C5"/>
    <w:rsid w:val="0009329F"/>
    <w:rsid w:val="000A766A"/>
    <w:rsid w:val="000B580E"/>
    <w:rsid w:val="000B6719"/>
    <w:rsid w:val="000C03B6"/>
    <w:rsid w:val="000C3BA6"/>
    <w:rsid w:val="000E5402"/>
    <w:rsid w:val="000F18E7"/>
    <w:rsid w:val="000F19C9"/>
    <w:rsid w:val="000F3436"/>
    <w:rsid w:val="00143B63"/>
    <w:rsid w:val="00160397"/>
    <w:rsid w:val="0016758C"/>
    <w:rsid w:val="001728DD"/>
    <w:rsid w:val="00172F03"/>
    <w:rsid w:val="00176AFA"/>
    <w:rsid w:val="0019753D"/>
    <w:rsid w:val="00197DAA"/>
    <w:rsid w:val="001A2961"/>
    <w:rsid w:val="001A4F99"/>
    <w:rsid w:val="001C1964"/>
    <w:rsid w:val="001C34B1"/>
    <w:rsid w:val="001D4D0F"/>
    <w:rsid w:val="002133C4"/>
    <w:rsid w:val="002135EF"/>
    <w:rsid w:val="00240055"/>
    <w:rsid w:val="002675A0"/>
    <w:rsid w:val="00275E1A"/>
    <w:rsid w:val="002B0E1C"/>
    <w:rsid w:val="002C2340"/>
    <w:rsid w:val="002D0C56"/>
    <w:rsid w:val="002D3274"/>
    <w:rsid w:val="002D4FA1"/>
    <w:rsid w:val="002E78FA"/>
    <w:rsid w:val="002F3849"/>
    <w:rsid w:val="002F5DA3"/>
    <w:rsid w:val="0032040C"/>
    <w:rsid w:val="0032493C"/>
    <w:rsid w:val="00331215"/>
    <w:rsid w:val="00336D54"/>
    <w:rsid w:val="003415AF"/>
    <w:rsid w:val="00347751"/>
    <w:rsid w:val="00351A00"/>
    <w:rsid w:val="00356567"/>
    <w:rsid w:val="0035663A"/>
    <w:rsid w:val="00361557"/>
    <w:rsid w:val="00367FC7"/>
    <w:rsid w:val="003722F3"/>
    <w:rsid w:val="00393C86"/>
    <w:rsid w:val="003944C0"/>
    <w:rsid w:val="003A63B1"/>
    <w:rsid w:val="003C4DA0"/>
    <w:rsid w:val="003D122D"/>
    <w:rsid w:val="003E0DE7"/>
    <w:rsid w:val="003E1EBB"/>
    <w:rsid w:val="003E64FD"/>
    <w:rsid w:val="003F63CE"/>
    <w:rsid w:val="0041226C"/>
    <w:rsid w:val="00420529"/>
    <w:rsid w:val="00425D8D"/>
    <w:rsid w:val="00432D56"/>
    <w:rsid w:val="00456BE0"/>
    <w:rsid w:val="004731F5"/>
    <w:rsid w:val="0047370E"/>
    <w:rsid w:val="004D74A2"/>
    <w:rsid w:val="004E6752"/>
    <w:rsid w:val="004F05DA"/>
    <w:rsid w:val="004F22A8"/>
    <w:rsid w:val="004F5F9E"/>
    <w:rsid w:val="004F7F56"/>
    <w:rsid w:val="00511275"/>
    <w:rsid w:val="005201DA"/>
    <w:rsid w:val="0052117F"/>
    <w:rsid w:val="00522AAE"/>
    <w:rsid w:val="00534152"/>
    <w:rsid w:val="00552972"/>
    <w:rsid w:val="00566C17"/>
    <w:rsid w:val="00576B77"/>
    <w:rsid w:val="0059666C"/>
    <w:rsid w:val="005B0928"/>
    <w:rsid w:val="005B41C1"/>
    <w:rsid w:val="005D51A4"/>
    <w:rsid w:val="005E3F1C"/>
    <w:rsid w:val="005E56EC"/>
    <w:rsid w:val="00610B6B"/>
    <w:rsid w:val="00672666"/>
    <w:rsid w:val="00674910"/>
    <w:rsid w:val="00682394"/>
    <w:rsid w:val="006A0641"/>
    <w:rsid w:val="006C5847"/>
    <w:rsid w:val="006D3D5E"/>
    <w:rsid w:val="006D7BFE"/>
    <w:rsid w:val="006E1323"/>
    <w:rsid w:val="006E6049"/>
    <w:rsid w:val="006E70DD"/>
    <w:rsid w:val="006F491A"/>
    <w:rsid w:val="00763988"/>
    <w:rsid w:val="007777B9"/>
    <w:rsid w:val="00794E5C"/>
    <w:rsid w:val="007A2EDD"/>
    <w:rsid w:val="007C12FF"/>
    <w:rsid w:val="007C1424"/>
    <w:rsid w:val="007C4509"/>
    <w:rsid w:val="007C7CA9"/>
    <w:rsid w:val="007D0DB1"/>
    <w:rsid w:val="007D0F41"/>
    <w:rsid w:val="007F1719"/>
    <w:rsid w:val="007F2625"/>
    <w:rsid w:val="0082658F"/>
    <w:rsid w:val="00826667"/>
    <w:rsid w:val="0088246D"/>
    <w:rsid w:val="00895856"/>
    <w:rsid w:val="008A63BD"/>
    <w:rsid w:val="008B1039"/>
    <w:rsid w:val="008D3EE3"/>
    <w:rsid w:val="008F41AB"/>
    <w:rsid w:val="008F6F1A"/>
    <w:rsid w:val="00903CC1"/>
    <w:rsid w:val="009067B5"/>
    <w:rsid w:val="00916F87"/>
    <w:rsid w:val="00924A1F"/>
    <w:rsid w:val="00925889"/>
    <w:rsid w:val="00925F0A"/>
    <w:rsid w:val="00927604"/>
    <w:rsid w:val="00927EE0"/>
    <w:rsid w:val="00930A2E"/>
    <w:rsid w:val="00930E40"/>
    <w:rsid w:val="00931407"/>
    <w:rsid w:val="0093689F"/>
    <w:rsid w:val="00954293"/>
    <w:rsid w:val="0095752D"/>
    <w:rsid w:val="00961390"/>
    <w:rsid w:val="00984D29"/>
    <w:rsid w:val="009A34A6"/>
    <w:rsid w:val="009A4A2B"/>
    <w:rsid w:val="009C3AAE"/>
    <w:rsid w:val="009F003C"/>
    <w:rsid w:val="009F6913"/>
    <w:rsid w:val="00A07DC3"/>
    <w:rsid w:val="00A1057F"/>
    <w:rsid w:val="00A11DA1"/>
    <w:rsid w:val="00A31117"/>
    <w:rsid w:val="00A33B5B"/>
    <w:rsid w:val="00A36708"/>
    <w:rsid w:val="00A4137D"/>
    <w:rsid w:val="00A418D1"/>
    <w:rsid w:val="00A67373"/>
    <w:rsid w:val="00A93CD6"/>
    <w:rsid w:val="00AB24FD"/>
    <w:rsid w:val="00AD2A59"/>
    <w:rsid w:val="00AE0930"/>
    <w:rsid w:val="00B5476A"/>
    <w:rsid w:val="00B716E8"/>
    <w:rsid w:val="00B718F4"/>
    <w:rsid w:val="00B76A72"/>
    <w:rsid w:val="00B82BB4"/>
    <w:rsid w:val="00B915DA"/>
    <w:rsid w:val="00B96C28"/>
    <w:rsid w:val="00BB4E31"/>
    <w:rsid w:val="00BD245F"/>
    <w:rsid w:val="00BF6E9F"/>
    <w:rsid w:val="00C0495E"/>
    <w:rsid w:val="00C21648"/>
    <w:rsid w:val="00C23497"/>
    <w:rsid w:val="00C447A0"/>
    <w:rsid w:val="00C5417C"/>
    <w:rsid w:val="00C700D4"/>
    <w:rsid w:val="00C81542"/>
    <w:rsid w:val="00C83066"/>
    <w:rsid w:val="00C858E7"/>
    <w:rsid w:val="00CA652B"/>
    <w:rsid w:val="00CC6483"/>
    <w:rsid w:val="00CD3E40"/>
    <w:rsid w:val="00CF40C3"/>
    <w:rsid w:val="00CF7494"/>
    <w:rsid w:val="00D32D98"/>
    <w:rsid w:val="00D8014A"/>
    <w:rsid w:val="00DA6779"/>
    <w:rsid w:val="00DD1218"/>
    <w:rsid w:val="00E14092"/>
    <w:rsid w:val="00E249B6"/>
    <w:rsid w:val="00E36ABC"/>
    <w:rsid w:val="00E54404"/>
    <w:rsid w:val="00E94BD0"/>
    <w:rsid w:val="00ED5901"/>
    <w:rsid w:val="00ED680D"/>
    <w:rsid w:val="00EE63DD"/>
    <w:rsid w:val="00EF2591"/>
    <w:rsid w:val="00EF6578"/>
    <w:rsid w:val="00F05C44"/>
    <w:rsid w:val="00F06D5A"/>
    <w:rsid w:val="00F07BE2"/>
    <w:rsid w:val="00F15180"/>
    <w:rsid w:val="00F175BF"/>
    <w:rsid w:val="00F343E4"/>
    <w:rsid w:val="00F56025"/>
    <w:rsid w:val="00F61CFF"/>
    <w:rsid w:val="00F87E6C"/>
    <w:rsid w:val="00FA77B3"/>
    <w:rsid w:val="00FB1990"/>
    <w:rsid w:val="00FD5B63"/>
    <w:rsid w:val="00FE1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4E8D"/>
  <w15:chartTrackingRefBased/>
  <w15:docId w15:val="{FB937328-3E6C-FB47-9CF0-B6F7A21A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24"/>
    <w:rPr>
      <w:rFonts w:eastAsiaTheme="majorEastAsia" w:cstheme="majorBidi"/>
      <w:color w:val="272727" w:themeColor="text1" w:themeTint="D8"/>
    </w:rPr>
  </w:style>
  <w:style w:type="paragraph" w:styleId="Title">
    <w:name w:val="Title"/>
    <w:basedOn w:val="Normal"/>
    <w:next w:val="Normal"/>
    <w:link w:val="TitleChar"/>
    <w:uiPriority w:val="10"/>
    <w:qFormat/>
    <w:rsid w:val="007C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24"/>
    <w:pPr>
      <w:spacing w:before="160"/>
      <w:jc w:val="center"/>
    </w:pPr>
    <w:rPr>
      <w:i/>
      <w:iCs/>
      <w:color w:val="404040" w:themeColor="text1" w:themeTint="BF"/>
    </w:rPr>
  </w:style>
  <w:style w:type="character" w:customStyle="1" w:styleId="QuoteChar">
    <w:name w:val="Quote Char"/>
    <w:basedOn w:val="DefaultParagraphFont"/>
    <w:link w:val="Quote"/>
    <w:uiPriority w:val="29"/>
    <w:rsid w:val="007C1424"/>
    <w:rPr>
      <w:i/>
      <w:iCs/>
      <w:color w:val="404040" w:themeColor="text1" w:themeTint="BF"/>
    </w:rPr>
  </w:style>
  <w:style w:type="paragraph" w:styleId="ListParagraph">
    <w:name w:val="List Paragraph"/>
    <w:basedOn w:val="Normal"/>
    <w:uiPriority w:val="34"/>
    <w:qFormat/>
    <w:rsid w:val="007C1424"/>
    <w:pPr>
      <w:ind w:left="720"/>
      <w:contextualSpacing/>
    </w:pPr>
  </w:style>
  <w:style w:type="character" w:styleId="IntenseEmphasis">
    <w:name w:val="Intense Emphasis"/>
    <w:basedOn w:val="DefaultParagraphFont"/>
    <w:uiPriority w:val="21"/>
    <w:qFormat/>
    <w:rsid w:val="007C1424"/>
    <w:rPr>
      <w:i/>
      <w:iCs/>
      <w:color w:val="0F4761" w:themeColor="accent1" w:themeShade="BF"/>
    </w:rPr>
  </w:style>
  <w:style w:type="paragraph" w:styleId="IntenseQuote">
    <w:name w:val="Intense Quote"/>
    <w:basedOn w:val="Normal"/>
    <w:next w:val="Normal"/>
    <w:link w:val="IntenseQuoteChar"/>
    <w:uiPriority w:val="30"/>
    <w:qFormat/>
    <w:rsid w:val="007C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24"/>
    <w:rPr>
      <w:i/>
      <w:iCs/>
      <w:color w:val="0F4761" w:themeColor="accent1" w:themeShade="BF"/>
    </w:rPr>
  </w:style>
  <w:style w:type="character" w:styleId="IntenseReference">
    <w:name w:val="Intense Reference"/>
    <w:basedOn w:val="DefaultParagraphFont"/>
    <w:uiPriority w:val="32"/>
    <w:qFormat/>
    <w:rsid w:val="007C1424"/>
    <w:rPr>
      <w:b/>
      <w:bCs/>
      <w:smallCaps/>
      <w:color w:val="0F4761" w:themeColor="accent1" w:themeShade="BF"/>
      <w:spacing w:val="5"/>
    </w:rPr>
  </w:style>
  <w:style w:type="character" w:styleId="Hyperlink">
    <w:name w:val="Hyperlink"/>
    <w:basedOn w:val="DefaultParagraphFont"/>
    <w:uiPriority w:val="99"/>
    <w:unhideWhenUsed/>
    <w:rsid w:val="002D0C56"/>
    <w:rPr>
      <w:color w:val="467886" w:themeColor="hyperlink"/>
      <w:u w:val="single"/>
    </w:rPr>
  </w:style>
  <w:style w:type="character" w:styleId="UnresolvedMention">
    <w:name w:val="Unresolved Mention"/>
    <w:basedOn w:val="DefaultParagraphFont"/>
    <w:uiPriority w:val="99"/>
    <w:semiHidden/>
    <w:unhideWhenUsed/>
    <w:rsid w:val="002D0C56"/>
    <w:rPr>
      <w:color w:val="605E5C"/>
      <w:shd w:val="clear" w:color="auto" w:fill="E1DFDD"/>
    </w:rPr>
  </w:style>
  <w:style w:type="paragraph" w:styleId="Bibliography">
    <w:name w:val="Bibliography"/>
    <w:basedOn w:val="Normal"/>
    <w:next w:val="Normal"/>
    <w:uiPriority w:val="37"/>
    <w:unhideWhenUsed/>
    <w:rsid w:val="00AD2A59"/>
    <w:pPr>
      <w:spacing w:after="240" w:line="240" w:lineRule="auto"/>
    </w:pPr>
  </w:style>
  <w:style w:type="paragraph" w:styleId="HTMLPreformatted">
    <w:name w:val="HTML Preformatted"/>
    <w:basedOn w:val="Normal"/>
    <w:link w:val="HTMLPreformattedChar"/>
    <w:uiPriority w:val="99"/>
    <w:semiHidden/>
    <w:unhideWhenUsed/>
    <w:rsid w:val="006E6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16501">
      <w:bodyDiv w:val="1"/>
      <w:marLeft w:val="0"/>
      <w:marRight w:val="0"/>
      <w:marTop w:val="0"/>
      <w:marBottom w:val="0"/>
      <w:divBdr>
        <w:top w:val="none" w:sz="0" w:space="0" w:color="auto"/>
        <w:left w:val="none" w:sz="0" w:space="0" w:color="auto"/>
        <w:bottom w:val="none" w:sz="0" w:space="0" w:color="auto"/>
        <w:right w:val="none" w:sz="0" w:space="0" w:color="auto"/>
      </w:divBdr>
    </w:div>
    <w:div w:id="719130355">
      <w:bodyDiv w:val="1"/>
      <w:marLeft w:val="0"/>
      <w:marRight w:val="0"/>
      <w:marTop w:val="0"/>
      <w:marBottom w:val="0"/>
      <w:divBdr>
        <w:top w:val="none" w:sz="0" w:space="0" w:color="auto"/>
        <w:left w:val="none" w:sz="0" w:space="0" w:color="auto"/>
        <w:bottom w:val="none" w:sz="0" w:space="0" w:color="auto"/>
        <w:right w:val="none" w:sz="0" w:space="0" w:color="auto"/>
      </w:divBdr>
    </w:div>
    <w:div w:id="785275199">
      <w:bodyDiv w:val="1"/>
      <w:marLeft w:val="0"/>
      <w:marRight w:val="0"/>
      <w:marTop w:val="0"/>
      <w:marBottom w:val="0"/>
      <w:divBdr>
        <w:top w:val="none" w:sz="0" w:space="0" w:color="auto"/>
        <w:left w:val="none" w:sz="0" w:space="0" w:color="auto"/>
        <w:bottom w:val="none" w:sz="0" w:space="0" w:color="auto"/>
        <w:right w:val="none" w:sz="0" w:space="0" w:color="auto"/>
      </w:divBdr>
    </w:div>
    <w:div w:id="818348706">
      <w:bodyDiv w:val="1"/>
      <w:marLeft w:val="0"/>
      <w:marRight w:val="0"/>
      <w:marTop w:val="0"/>
      <w:marBottom w:val="0"/>
      <w:divBdr>
        <w:top w:val="none" w:sz="0" w:space="0" w:color="auto"/>
        <w:left w:val="none" w:sz="0" w:space="0" w:color="auto"/>
        <w:bottom w:val="none" w:sz="0" w:space="0" w:color="auto"/>
        <w:right w:val="none" w:sz="0" w:space="0" w:color="auto"/>
      </w:divBdr>
    </w:div>
    <w:div w:id="907497673">
      <w:bodyDiv w:val="1"/>
      <w:marLeft w:val="0"/>
      <w:marRight w:val="0"/>
      <w:marTop w:val="0"/>
      <w:marBottom w:val="0"/>
      <w:divBdr>
        <w:top w:val="none" w:sz="0" w:space="0" w:color="auto"/>
        <w:left w:val="none" w:sz="0" w:space="0" w:color="auto"/>
        <w:bottom w:val="none" w:sz="0" w:space="0" w:color="auto"/>
        <w:right w:val="none" w:sz="0" w:space="0" w:color="auto"/>
      </w:divBdr>
    </w:div>
    <w:div w:id="955718871">
      <w:bodyDiv w:val="1"/>
      <w:marLeft w:val="0"/>
      <w:marRight w:val="0"/>
      <w:marTop w:val="0"/>
      <w:marBottom w:val="0"/>
      <w:divBdr>
        <w:top w:val="none" w:sz="0" w:space="0" w:color="auto"/>
        <w:left w:val="none" w:sz="0" w:space="0" w:color="auto"/>
        <w:bottom w:val="none" w:sz="0" w:space="0" w:color="auto"/>
        <w:right w:val="none" w:sz="0" w:space="0" w:color="auto"/>
      </w:divBdr>
    </w:div>
    <w:div w:id="1245917215">
      <w:bodyDiv w:val="1"/>
      <w:marLeft w:val="0"/>
      <w:marRight w:val="0"/>
      <w:marTop w:val="0"/>
      <w:marBottom w:val="0"/>
      <w:divBdr>
        <w:top w:val="none" w:sz="0" w:space="0" w:color="auto"/>
        <w:left w:val="none" w:sz="0" w:space="0" w:color="auto"/>
        <w:bottom w:val="none" w:sz="0" w:space="0" w:color="auto"/>
        <w:right w:val="none" w:sz="0" w:space="0" w:color="auto"/>
      </w:divBdr>
    </w:div>
    <w:div w:id="1314867103">
      <w:bodyDiv w:val="1"/>
      <w:marLeft w:val="0"/>
      <w:marRight w:val="0"/>
      <w:marTop w:val="0"/>
      <w:marBottom w:val="0"/>
      <w:divBdr>
        <w:top w:val="none" w:sz="0" w:space="0" w:color="auto"/>
        <w:left w:val="none" w:sz="0" w:space="0" w:color="auto"/>
        <w:bottom w:val="none" w:sz="0" w:space="0" w:color="auto"/>
        <w:right w:val="none" w:sz="0" w:space="0" w:color="auto"/>
      </w:divBdr>
    </w:div>
    <w:div w:id="1418481843">
      <w:bodyDiv w:val="1"/>
      <w:marLeft w:val="0"/>
      <w:marRight w:val="0"/>
      <w:marTop w:val="0"/>
      <w:marBottom w:val="0"/>
      <w:divBdr>
        <w:top w:val="none" w:sz="0" w:space="0" w:color="auto"/>
        <w:left w:val="none" w:sz="0" w:space="0" w:color="auto"/>
        <w:bottom w:val="none" w:sz="0" w:space="0" w:color="auto"/>
        <w:right w:val="none" w:sz="0" w:space="0" w:color="auto"/>
      </w:divBdr>
    </w:div>
    <w:div w:id="1545675501">
      <w:bodyDiv w:val="1"/>
      <w:marLeft w:val="0"/>
      <w:marRight w:val="0"/>
      <w:marTop w:val="0"/>
      <w:marBottom w:val="0"/>
      <w:divBdr>
        <w:top w:val="none" w:sz="0" w:space="0" w:color="auto"/>
        <w:left w:val="none" w:sz="0" w:space="0" w:color="auto"/>
        <w:bottom w:val="none" w:sz="0" w:space="0" w:color="auto"/>
        <w:right w:val="none" w:sz="0" w:space="0" w:color="auto"/>
      </w:divBdr>
    </w:div>
    <w:div w:id="1592273494">
      <w:bodyDiv w:val="1"/>
      <w:marLeft w:val="0"/>
      <w:marRight w:val="0"/>
      <w:marTop w:val="0"/>
      <w:marBottom w:val="0"/>
      <w:divBdr>
        <w:top w:val="none" w:sz="0" w:space="0" w:color="auto"/>
        <w:left w:val="none" w:sz="0" w:space="0" w:color="auto"/>
        <w:bottom w:val="none" w:sz="0" w:space="0" w:color="auto"/>
        <w:right w:val="none" w:sz="0" w:space="0" w:color="auto"/>
      </w:divBdr>
    </w:div>
    <w:div w:id="17146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0515-2BF4-4FC1-B234-AE913E48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dc:creator>
  <cp:keywords/>
  <dc:description/>
  <cp:lastModifiedBy>Hannah Z</cp:lastModifiedBy>
  <cp:revision>598</cp:revision>
  <cp:lastPrinted>2025-04-15T01:29:00Z</cp:lastPrinted>
  <dcterms:created xsi:type="dcterms:W3CDTF">2025-03-20T05:47:00Z</dcterms:created>
  <dcterms:modified xsi:type="dcterms:W3CDTF">2025-04-15T01:30:00Z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id="dqyc93yW"/&gt;&lt;style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