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2315F" w14:textId="505F2F87" w:rsidR="009A48F6" w:rsidRPr="00672666" w:rsidRDefault="009A48F6" w:rsidP="009A48F6">
      <w:pPr>
        <w:rPr>
          <w:b/>
          <w:bCs/>
          <w:lang w:val="en-US"/>
        </w:rPr>
      </w:pPr>
      <w:r w:rsidRPr="00672666">
        <w:rPr>
          <w:b/>
          <w:bCs/>
          <w:lang w:val="en-US"/>
        </w:rPr>
        <w:t>DEMO2002 W</w:t>
      </w:r>
      <w:r>
        <w:rPr>
          <w:b/>
          <w:bCs/>
          <w:lang w:val="en-US"/>
        </w:rPr>
        <w:t>8</w:t>
      </w:r>
      <w:r w:rsidRPr="00672666">
        <w:rPr>
          <w:b/>
          <w:bCs/>
          <w:lang w:val="en-US"/>
        </w:rPr>
        <w:t xml:space="preserve"> Tutorial </w:t>
      </w:r>
    </w:p>
    <w:p w14:paraId="4F9CF196" w14:textId="77777777" w:rsidR="009A48F6" w:rsidRDefault="009A48F6" w:rsidP="009A48F6">
      <w:pPr>
        <w:jc w:val="center"/>
        <w:rPr>
          <w:sz w:val="22"/>
          <w:szCs w:val="22"/>
          <w:lang w:val="en-US"/>
        </w:rPr>
      </w:pPr>
      <w:r w:rsidRPr="007C1424">
        <w:rPr>
          <w:noProof/>
          <w:sz w:val="22"/>
          <w:szCs w:val="22"/>
          <w:lang w:val="en-US"/>
        </w:rPr>
        <w:drawing>
          <wp:inline distT="0" distB="0" distL="0" distR="0" wp14:anchorId="169DBA5B" wp14:editId="721047E6">
            <wp:extent cx="4319187" cy="2672956"/>
            <wp:effectExtent l="0" t="0" r="5715" b="0"/>
            <wp:docPr id="93336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6291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67074" cy="2702591"/>
                    </a:xfrm>
                    <a:prstGeom prst="rect">
                      <a:avLst/>
                    </a:prstGeom>
                  </pic:spPr>
                </pic:pic>
              </a:graphicData>
            </a:graphic>
          </wp:inline>
        </w:drawing>
      </w:r>
    </w:p>
    <w:p w14:paraId="180E1D1B" w14:textId="77777777" w:rsidR="00874823" w:rsidRDefault="009A48F6">
      <w:pPr>
        <w:rPr>
          <w:lang w:val="en-US"/>
        </w:rPr>
      </w:pPr>
      <w:r>
        <w:rPr>
          <w:lang w:val="en-US"/>
        </w:rPr>
        <w:t xml:space="preserve">The above figure depicts mortality pyramids for Greece based on Deaths 1x1 data from the Human Mortality Database. It shows pyramids for </w:t>
      </w:r>
      <w:r w:rsidR="0086327B">
        <w:rPr>
          <w:lang w:val="en-US"/>
        </w:rPr>
        <w:t>males and females in the</w:t>
      </w:r>
      <w:r>
        <w:rPr>
          <w:lang w:val="en-US"/>
        </w:rPr>
        <w:t xml:space="preserve"> years 1981, 2000, and 2019</w:t>
      </w:r>
      <w:r w:rsidR="00491F86">
        <w:rPr>
          <w:lang w:val="en-US"/>
        </w:rPr>
        <w:t>.</w:t>
      </w:r>
      <w:r w:rsidR="00837B30">
        <w:rPr>
          <w:lang w:val="en-US"/>
        </w:rPr>
        <w:t xml:space="preserve"> </w:t>
      </w:r>
    </w:p>
    <w:p w14:paraId="5444F41C" w14:textId="626A152B" w:rsidR="00491F86" w:rsidRDefault="004D217A">
      <w:pPr>
        <w:rPr>
          <w:lang w:val="en-US"/>
        </w:rPr>
      </w:pPr>
      <w:r>
        <w:rPr>
          <w:lang w:val="en-US"/>
        </w:rPr>
        <w:t xml:space="preserve">Speaking </w:t>
      </w:r>
      <w:r w:rsidR="00837B30">
        <w:rPr>
          <w:lang w:val="en-US"/>
        </w:rPr>
        <w:t>of</w:t>
      </w:r>
      <w:r>
        <w:rPr>
          <w:lang w:val="en-US"/>
        </w:rPr>
        <w:t xml:space="preserve"> the general trends, </w:t>
      </w:r>
      <w:r w:rsidR="00326D1C">
        <w:rPr>
          <w:lang w:val="en-US"/>
        </w:rPr>
        <w:t>the</w:t>
      </w:r>
      <w:r>
        <w:rPr>
          <w:lang w:val="en-US"/>
        </w:rPr>
        <w:t xml:space="preserve"> people of Greece are tending to live to older ages, on average. In 1981, number of deaths peak at about 77 for males and 80 for females. In 2019, these peaks have shifted to later years – 85 for males and about 87 for females. </w:t>
      </w:r>
      <w:r w:rsidR="00F33A58">
        <w:rPr>
          <w:lang w:val="en-US"/>
        </w:rPr>
        <w:t>There is an interesting bimodal-like pattern for male</w:t>
      </w:r>
      <w:r w:rsidR="00212D9F">
        <w:rPr>
          <w:lang w:val="en-US"/>
        </w:rPr>
        <w:t xml:space="preserve"> deaths</w:t>
      </w:r>
      <w:r w:rsidR="00F33A58">
        <w:rPr>
          <w:lang w:val="en-US"/>
        </w:rPr>
        <w:t xml:space="preserve"> in 2000.</w:t>
      </w:r>
      <w:r w:rsidR="00874823">
        <w:rPr>
          <w:lang w:val="en-US"/>
        </w:rPr>
        <w:t xml:space="preserve"> </w:t>
      </w:r>
      <w:r w:rsidR="00212D9F">
        <w:rPr>
          <w:lang w:val="en-US"/>
        </w:rPr>
        <w:t>While we couldn’t find a direct answer to this, Greece</w:t>
      </w:r>
      <w:r w:rsidR="00CB34F6">
        <w:rPr>
          <w:lang w:val="en-US"/>
        </w:rPr>
        <w:t>’s experience in political and economic turmoil</w:t>
      </w:r>
      <w:r w:rsidR="00432C5E">
        <w:rPr>
          <w:lang w:val="en-US"/>
        </w:rPr>
        <w:t xml:space="preserve"> and declining fertility rates seem to have </w:t>
      </w:r>
      <w:r w:rsidR="00212D9F">
        <w:rPr>
          <w:lang w:val="en-US"/>
        </w:rPr>
        <w:t xml:space="preserve">influenced this pattern. </w:t>
      </w:r>
    </w:p>
    <w:p w14:paraId="48246D26" w14:textId="284AC3FA" w:rsidR="00901EB9" w:rsidRPr="00901EB9" w:rsidRDefault="00F33A58">
      <w:r>
        <w:rPr>
          <w:lang w:val="en-US"/>
        </w:rPr>
        <w:t xml:space="preserve">The plots show marked improvement in infant </w:t>
      </w:r>
      <w:r w:rsidR="00C74EEA">
        <w:rPr>
          <w:lang w:val="en-US"/>
        </w:rPr>
        <w:t>mortality</w:t>
      </w:r>
      <w:r>
        <w:rPr>
          <w:lang w:val="en-US"/>
        </w:rPr>
        <w:t xml:space="preserve">. In 1981, the infant mortality accounted for more than 1% of the total number of deaths that year, in each of the male and female distributions. </w:t>
      </w:r>
      <w:r w:rsidR="00261DF8">
        <w:rPr>
          <w:lang w:val="en-US"/>
        </w:rPr>
        <w:t xml:space="preserve">Already, infant mortality figure shrinks to less than 0.5% by 2000 and further improvements are observed in 2021. </w:t>
      </w:r>
      <w:r w:rsidR="00901EB9">
        <w:rPr>
          <w:lang w:val="en-US"/>
        </w:rPr>
        <w:t xml:space="preserve">We also see the younger tail ends of mortality shrinking in these decades – that is, less deaths occurring prematurely </w:t>
      </w:r>
      <w:r w:rsidR="00901EB9">
        <w:t xml:space="preserve">during their healthy adult years. </w:t>
      </w:r>
    </w:p>
    <w:p w14:paraId="50A31203" w14:textId="75C58214" w:rsidR="009E2494" w:rsidRDefault="005A57A2">
      <w:pPr>
        <w:rPr>
          <w:lang w:val="en-US"/>
        </w:rPr>
      </w:pPr>
      <w:r>
        <w:rPr>
          <w:lang w:val="en-US"/>
        </w:rPr>
        <w:fldChar w:fldCharType="begin"/>
      </w:r>
      <w:r>
        <w:rPr>
          <w:lang w:val="en-US"/>
        </w:rPr>
        <w:instrText xml:space="preserve"> ADDIN ZOTERO_ITEM CSL_CITATION {"citationID":"ufNZgsWs","properties":{"formattedCitation":"(Zafeiris and Kostaki, 2019)","plainCitation":"(Zafeiris and Kostaki, 2019)","noteIndex":0},"citationItems":[{"id":228,"uris":["http://zotero.org/users/8027965/items/QCKZNFZA"],"itemData":{"id":228,"type":"article-journal","container-title":"Communications in Statistics - Theory and Methods","DOI":"10.1080/03610926.2017.1353625","ISSN":"0361-0926, 1532-415X","issue":"1","journalAbbreviation":"Communications in Statistics - Theory and Methods","language":"en","page":"112-126","source":"DOI.org (Crossref)","title":"Recent mortality trends in Greece","volume":"48","author":[{"family":"Zafeiris","given":"Konstantinos N."},{"family":"Kostaki","given":"Anastasia"}],"issued":{"date-parts":[["2019",1,2]]},"citation-key":"zafeiris2019"}}],"schema":"https://github.com/citation-style-language/schema/raw/master/csl-citation.json"} </w:instrText>
      </w:r>
      <w:r>
        <w:rPr>
          <w:lang w:val="en-US"/>
        </w:rPr>
        <w:fldChar w:fldCharType="separate"/>
      </w:r>
      <w:r w:rsidRPr="005A57A2">
        <w:rPr>
          <w:rFonts w:ascii="Aptos" w:hAnsi="Aptos"/>
        </w:rPr>
        <w:t xml:space="preserve">Zafeiris and </w:t>
      </w:r>
      <w:proofErr w:type="spellStart"/>
      <w:r w:rsidRPr="005A57A2">
        <w:rPr>
          <w:rFonts w:ascii="Aptos" w:hAnsi="Aptos"/>
        </w:rPr>
        <w:t>Kostaki</w:t>
      </w:r>
      <w:proofErr w:type="spellEnd"/>
      <w:r w:rsidRPr="005A57A2">
        <w:rPr>
          <w:rFonts w:ascii="Aptos" w:hAnsi="Aptos"/>
        </w:rPr>
        <w:t xml:space="preserve"> </w:t>
      </w:r>
      <w:r w:rsidR="00D04F55">
        <w:rPr>
          <w:rFonts w:ascii="Aptos" w:hAnsi="Aptos"/>
        </w:rPr>
        <w:t>(</w:t>
      </w:r>
      <w:r w:rsidRPr="005A57A2">
        <w:rPr>
          <w:rFonts w:ascii="Aptos" w:hAnsi="Aptos"/>
        </w:rPr>
        <w:t>2019)</w:t>
      </w:r>
      <w:r>
        <w:rPr>
          <w:lang w:val="en-US"/>
        </w:rPr>
        <w:fldChar w:fldCharType="end"/>
      </w:r>
      <w:r>
        <w:rPr>
          <w:lang w:val="en-US"/>
        </w:rPr>
        <w:t xml:space="preserve"> presents a discussion of Greece mortality during 1961-2014. </w:t>
      </w:r>
      <w:r w:rsidR="00227B55">
        <w:rPr>
          <w:lang w:val="en-US"/>
        </w:rPr>
        <w:t>We particularly liked the comparisons made between females and males</w:t>
      </w:r>
      <w:r w:rsidR="00326D1C">
        <w:rPr>
          <w:lang w:val="en-US"/>
        </w:rPr>
        <w:t xml:space="preserve">. For one, Greek female tended to have a smaller “accident hump” </w:t>
      </w:r>
      <w:r w:rsidR="007D69C5">
        <w:rPr>
          <w:lang w:val="en-US"/>
        </w:rPr>
        <w:t xml:space="preserve">— the phenomenon of elevated mortality in impulsive young adults – </w:t>
      </w:r>
      <w:r w:rsidR="00326D1C">
        <w:rPr>
          <w:lang w:val="en-US"/>
        </w:rPr>
        <w:t>than males</w:t>
      </w:r>
      <w:r w:rsidR="00154F95">
        <w:rPr>
          <w:lang w:val="en-US"/>
        </w:rPr>
        <w:t>. But they a</w:t>
      </w:r>
      <w:r w:rsidR="00326D1C">
        <w:rPr>
          <w:lang w:val="en-US"/>
        </w:rPr>
        <w:t>rgue that primarily “</w:t>
      </w:r>
      <w:proofErr w:type="spellStart"/>
      <w:r w:rsidR="00326D1C">
        <w:rPr>
          <w:lang w:val="en-US"/>
        </w:rPr>
        <w:t>behavioural</w:t>
      </w:r>
      <w:proofErr w:type="spellEnd"/>
      <w:r w:rsidR="00326D1C">
        <w:rPr>
          <w:lang w:val="en-US"/>
        </w:rPr>
        <w:t xml:space="preserve"> and life style” differences account for the mortality</w:t>
      </w:r>
      <w:r w:rsidR="005B7C33">
        <w:rPr>
          <w:lang w:val="en-US"/>
        </w:rPr>
        <w:t xml:space="preserve"> patterns</w:t>
      </w:r>
      <w:r w:rsidR="0063011E">
        <w:rPr>
          <w:lang w:val="en-US"/>
        </w:rPr>
        <w:t xml:space="preserve"> between males and females</w:t>
      </w:r>
      <w:r w:rsidR="00326D1C">
        <w:rPr>
          <w:lang w:val="en-US"/>
        </w:rPr>
        <w:t xml:space="preserve">, rather than </w:t>
      </w:r>
      <w:r w:rsidR="00A9634A">
        <w:rPr>
          <w:lang w:val="en-US"/>
        </w:rPr>
        <w:t xml:space="preserve">suicide rates and </w:t>
      </w:r>
      <w:r w:rsidR="00326D1C">
        <w:rPr>
          <w:lang w:val="en-US"/>
        </w:rPr>
        <w:t>economic crises in Greece, which preceding literature had touched on.</w:t>
      </w:r>
      <w:r w:rsidR="00F67EC0">
        <w:rPr>
          <w:lang w:val="en-US"/>
        </w:rPr>
        <w:t xml:space="preserve"> </w:t>
      </w:r>
    </w:p>
    <w:p w14:paraId="52B92254" w14:textId="2366E4BB" w:rsidR="009A48F6" w:rsidRDefault="009A48F6">
      <w:pPr>
        <w:rPr>
          <w:lang w:val="en-US"/>
        </w:rPr>
      </w:pPr>
      <w:r>
        <w:rPr>
          <w:lang w:val="en-US"/>
        </w:rPr>
        <w:br w:type="page"/>
      </w:r>
    </w:p>
    <w:p w14:paraId="35CF497D" w14:textId="6EAF360A" w:rsidR="009A48F6" w:rsidRPr="00AD2A59" w:rsidRDefault="009A48F6" w:rsidP="009A48F6">
      <w:pPr>
        <w:rPr>
          <w:b/>
          <w:bCs/>
          <w:lang w:val="en-US"/>
        </w:rPr>
      </w:pPr>
      <w:r w:rsidRPr="00AD2A59">
        <w:rPr>
          <w:b/>
          <w:bCs/>
          <w:lang w:val="en-US"/>
        </w:rPr>
        <w:lastRenderedPageBreak/>
        <w:t>References</w:t>
      </w:r>
    </w:p>
    <w:p w14:paraId="47654397" w14:textId="77777777" w:rsidR="005A57A2" w:rsidRPr="005A57A2" w:rsidRDefault="009A48F6" w:rsidP="005A57A2">
      <w:pPr>
        <w:pStyle w:val="Bibliography"/>
        <w:rPr>
          <w:rFonts w:ascii="Aptos" w:hAnsi="Aptos"/>
        </w:rPr>
      </w:pPr>
      <w:r>
        <w:rPr>
          <w:lang w:val="en-US"/>
        </w:rPr>
        <w:fldChar w:fldCharType="begin"/>
      </w:r>
      <w:r>
        <w:rPr>
          <w:lang w:val="en-US"/>
        </w:rPr>
        <w:instrText xml:space="preserve"> ADDIN ZOTERO_BIBL {"uncited":[],"omitted":[],"custom":[]} CSL_BIBLIOGRAPHY </w:instrText>
      </w:r>
      <w:r>
        <w:rPr>
          <w:lang w:val="en-US"/>
        </w:rPr>
        <w:fldChar w:fldCharType="separate"/>
      </w:r>
      <w:r w:rsidR="005A57A2" w:rsidRPr="005A57A2">
        <w:rPr>
          <w:rFonts w:ascii="Aptos" w:hAnsi="Aptos"/>
        </w:rPr>
        <w:t xml:space="preserve">Zafeiris, K.N. and </w:t>
      </w:r>
      <w:proofErr w:type="spellStart"/>
      <w:r w:rsidR="005A57A2" w:rsidRPr="005A57A2">
        <w:rPr>
          <w:rFonts w:ascii="Aptos" w:hAnsi="Aptos"/>
        </w:rPr>
        <w:t>Kostaki</w:t>
      </w:r>
      <w:proofErr w:type="spellEnd"/>
      <w:r w:rsidR="005A57A2" w:rsidRPr="005A57A2">
        <w:rPr>
          <w:rFonts w:ascii="Aptos" w:hAnsi="Aptos"/>
        </w:rPr>
        <w:t xml:space="preserve">, A. (2019) ‘Recent mortality trends in Greece’, </w:t>
      </w:r>
      <w:r w:rsidR="005A57A2" w:rsidRPr="005A57A2">
        <w:rPr>
          <w:rFonts w:ascii="Aptos" w:hAnsi="Aptos"/>
          <w:i/>
          <w:iCs/>
        </w:rPr>
        <w:t>Communications in Statistics - Theory and Methods</w:t>
      </w:r>
      <w:r w:rsidR="005A57A2" w:rsidRPr="005A57A2">
        <w:rPr>
          <w:rFonts w:ascii="Aptos" w:hAnsi="Aptos"/>
        </w:rPr>
        <w:t>, 48(1), pp. 112–126. Available at: https://doi.org/10.1080/03610926.2017.1353625.</w:t>
      </w:r>
    </w:p>
    <w:p w14:paraId="36744AAF" w14:textId="48CA9701" w:rsidR="009A48F6" w:rsidRPr="00AD2A59" w:rsidRDefault="009A48F6" w:rsidP="009A48F6">
      <w:pPr>
        <w:rPr>
          <w:lang w:val="en-US"/>
        </w:rPr>
      </w:pPr>
      <w:r>
        <w:rPr>
          <w:lang w:val="en-US"/>
        </w:rPr>
        <w:fldChar w:fldCharType="end"/>
      </w:r>
    </w:p>
    <w:p w14:paraId="2661F26B" w14:textId="77777777" w:rsidR="009A48F6" w:rsidRDefault="009A48F6" w:rsidP="009A48F6"/>
    <w:p w14:paraId="20487BA9" w14:textId="58D19446" w:rsidR="00A33B5B" w:rsidRPr="009A48F6" w:rsidRDefault="00A33B5B" w:rsidP="009A48F6"/>
    <w:sectPr w:rsidR="00A33B5B" w:rsidRPr="009A48F6" w:rsidSect="009A48F6">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24"/>
    <w:rsid w:val="00022A41"/>
    <w:rsid w:val="00026703"/>
    <w:rsid w:val="00040E10"/>
    <w:rsid w:val="000454F7"/>
    <w:rsid w:val="00050103"/>
    <w:rsid w:val="000529E5"/>
    <w:rsid w:val="00070D4B"/>
    <w:rsid w:val="00074B5B"/>
    <w:rsid w:val="0008245E"/>
    <w:rsid w:val="00085B31"/>
    <w:rsid w:val="00091383"/>
    <w:rsid w:val="000923C5"/>
    <w:rsid w:val="0009329F"/>
    <w:rsid w:val="000A766A"/>
    <w:rsid w:val="000B580E"/>
    <w:rsid w:val="000B6719"/>
    <w:rsid w:val="000C03B6"/>
    <w:rsid w:val="000C3BA6"/>
    <w:rsid w:val="000E5402"/>
    <w:rsid w:val="000F18E7"/>
    <w:rsid w:val="000F19C9"/>
    <w:rsid w:val="000F3436"/>
    <w:rsid w:val="000F51F4"/>
    <w:rsid w:val="00143B63"/>
    <w:rsid w:val="00154F95"/>
    <w:rsid w:val="00160397"/>
    <w:rsid w:val="0016758C"/>
    <w:rsid w:val="001728DD"/>
    <w:rsid w:val="00172F03"/>
    <w:rsid w:val="00176AFA"/>
    <w:rsid w:val="0019753D"/>
    <w:rsid w:val="00197DAA"/>
    <w:rsid w:val="001A2961"/>
    <w:rsid w:val="001A4F99"/>
    <w:rsid w:val="001C1964"/>
    <w:rsid w:val="001C34B1"/>
    <w:rsid w:val="001D4D0F"/>
    <w:rsid w:val="00212D9F"/>
    <w:rsid w:val="002133C4"/>
    <w:rsid w:val="002135EF"/>
    <w:rsid w:val="00227B55"/>
    <w:rsid w:val="00230CE4"/>
    <w:rsid w:val="00240055"/>
    <w:rsid w:val="00261DF8"/>
    <w:rsid w:val="002675A0"/>
    <w:rsid w:val="00275E1A"/>
    <w:rsid w:val="002B0E1C"/>
    <w:rsid w:val="002C2340"/>
    <w:rsid w:val="002D0C56"/>
    <w:rsid w:val="002D3274"/>
    <w:rsid w:val="002D42DC"/>
    <w:rsid w:val="002D4FA1"/>
    <w:rsid w:val="002E78FA"/>
    <w:rsid w:val="002F3849"/>
    <w:rsid w:val="002F5DA3"/>
    <w:rsid w:val="0032040C"/>
    <w:rsid w:val="0032493C"/>
    <w:rsid w:val="00326D1C"/>
    <w:rsid w:val="00331215"/>
    <w:rsid w:val="00336D54"/>
    <w:rsid w:val="003415AF"/>
    <w:rsid w:val="00347751"/>
    <w:rsid w:val="00351A00"/>
    <w:rsid w:val="00356567"/>
    <w:rsid w:val="0035663A"/>
    <w:rsid w:val="00361557"/>
    <w:rsid w:val="00367FC7"/>
    <w:rsid w:val="003722F3"/>
    <w:rsid w:val="00393C86"/>
    <w:rsid w:val="003944C0"/>
    <w:rsid w:val="003A63B1"/>
    <w:rsid w:val="003C4DA0"/>
    <w:rsid w:val="003D122D"/>
    <w:rsid w:val="003E0DE7"/>
    <w:rsid w:val="003E1EBB"/>
    <w:rsid w:val="003E64FD"/>
    <w:rsid w:val="003F6286"/>
    <w:rsid w:val="003F63CE"/>
    <w:rsid w:val="0041226C"/>
    <w:rsid w:val="00420529"/>
    <w:rsid w:val="00425D8D"/>
    <w:rsid w:val="00432C5E"/>
    <w:rsid w:val="00432D56"/>
    <w:rsid w:val="004474FE"/>
    <w:rsid w:val="00456BE0"/>
    <w:rsid w:val="004731F5"/>
    <w:rsid w:val="0047370E"/>
    <w:rsid w:val="00491F86"/>
    <w:rsid w:val="004D217A"/>
    <w:rsid w:val="004D74A2"/>
    <w:rsid w:val="004E6752"/>
    <w:rsid w:val="004F05DA"/>
    <w:rsid w:val="004F22A8"/>
    <w:rsid w:val="004F5F9E"/>
    <w:rsid w:val="004F7F56"/>
    <w:rsid w:val="00511275"/>
    <w:rsid w:val="005201DA"/>
    <w:rsid w:val="0052117F"/>
    <w:rsid w:val="00522AAE"/>
    <w:rsid w:val="00534152"/>
    <w:rsid w:val="00552972"/>
    <w:rsid w:val="00566C17"/>
    <w:rsid w:val="00576B77"/>
    <w:rsid w:val="0059666C"/>
    <w:rsid w:val="005A57A2"/>
    <w:rsid w:val="005B0928"/>
    <w:rsid w:val="005B41C1"/>
    <w:rsid w:val="005B7C33"/>
    <w:rsid w:val="005D51A4"/>
    <w:rsid w:val="005E3F1C"/>
    <w:rsid w:val="005E56EC"/>
    <w:rsid w:val="00610B6B"/>
    <w:rsid w:val="0063011E"/>
    <w:rsid w:val="006414BA"/>
    <w:rsid w:val="006437EB"/>
    <w:rsid w:val="00672666"/>
    <w:rsid w:val="00674910"/>
    <w:rsid w:val="00682394"/>
    <w:rsid w:val="006A0641"/>
    <w:rsid w:val="006C532C"/>
    <w:rsid w:val="006C5847"/>
    <w:rsid w:val="006D3D5E"/>
    <w:rsid w:val="006D6413"/>
    <w:rsid w:val="006D7BFE"/>
    <w:rsid w:val="006E1323"/>
    <w:rsid w:val="006E6049"/>
    <w:rsid w:val="006E70DD"/>
    <w:rsid w:val="006F491A"/>
    <w:rsid w:val="00763988"/>
    <w:rsid w:val="007777B9"/>
    <w:rsid w:val="007913B3"/>
    <w:rsid w:val="00794E5C"/>
    <w:rsid w:val="007A2EDD"/>
    <w:rsid w:val="007B24D1"/>
    <w:rsid w:val="007C12FF"/>
    <w:rsid w:val="007C1424"/>
    <w:rsid w:val="007C4509"/>
    <w:rsid w:val="007C7CA9"/>
    <w:rsid w:val="007D0DB1"/>
    <w:rsid w:val="007D0F41"/>
    <w:rsid w:val="007D69C5"/>
    <w:rsid w:val="007F1719"/>
    <w:rsid w:val="007F2625"/>
    <w:rsid w:val="008261C8"/>
    <w:rsid w:val="0082658F"/>
    <w:rsid w:val="00826667"/>
    <w:rsid w:val="00837B30"/>
    <w:rsid w:val="00852E34"/>
    <w:rsid w:val="0086327B"/>
    <w:rsid w:val="00874823"/>
    <w:rsid w:val="0088246D"/>
    <w:rsid w:val="00895856"/>
    <w:rsid w:val="008A63BD"/>
    <w:rsid w:val="008B1039"/>
    <w:rsid w:val="008D3EE3"/>
    <w:rsid w:val="008F41AB"/>
    <w:rsid w:val="008F6F1A"/>
    <w:rsid w:val="00901EB9"/>
    <w:rsid w:val="00903CC1"/>
    <w:rsid w:val="009067B5"/>
    <w:rsid w:val="00916F87"/>
    <w:rsid w:val="00924A1F"/>
    <w:rsid w:val="00925889"/>
    <w:rsid w:val="00925F0A"/>
    <w:rsid w:val="00927604"/>
    <w:rsid w:val="00927EE0"/>
    <w:rsid w:val="00930A2E"/>
    <w:rsid w:val="00930E40"/>
    <w:rsid w:val="00931407"/>
    <w:rsid w:val="0093689F"/>
    <w:rsid w:val="00954293"/>
    <w:rsid w:val="0095752D"/>
    <w:rsid w:val="00961390"/>
    <w:rsid w:val="00984D29"/>
    <w:rsid w:val="009A34A6"/>
    <w:rsid w:val="009A48F6"/>
    <w:rsid w:val="009A4A2B"/>
    <w:rsid w:val="009C3AAE"/>
    <w:rsid w:val="009E2494"/>
    <w:rsid w:val="009F003C"/>
    <w:rsid w:val="009F6913"/>
    <w:rsid w:val="00A07DC3"/>
    <w:rsid w:val="00A1057F"/>
    <w:rsid w:val="00A11DA1"/>
    <w:rsid w:val="00A31117"/>
    <w:rsid w:val="00A33B5B"/>
    <w:rsid w:val="00A36708"/>
    <w:rsid w:val="00A4137D"/>
    <w:rsid w:val="00A418D1"/>
    <w:rsid w:val="00A67373"/>
    <w:rsid w:val="00A93CD6"/>
    <w:rsid w:val="00A9634A"/>
    <w:rsid w:val="00AB24FD"/>
    <w:rsid w:val="00AD0AE3"/>
    <w:rsid w:val="00AD2A59"/>
    <w:rsid w:val="00AE0930"/>
    <w:rsid w:val="00B31898"/>
    <w:rsid w:val="00B5476A"/>
    <w:rsid w:val="00B716E8"/>
    <w:rsid w:val="00B718F4"/>
    <w:rsid w:val="00B76A72"/>
    <w:rsid w:val="00B812ED"/>
    <w:rsid w:val="00B82BB4"/>
    <w:rsid w:val="00B915DA"/>
    <w:rsid w:val="00B96C28"/>
    <w:rsid w:val="00BB4E31"/>
    <w:rsid w:val="00BD245F"/>
    <w:rsid w:val="00BF6E9F"/>
    <w:rsid w:val="00C0495E"/>
    <w:rsid w:val="00C21648"/>
    <w:rsid w:val="00C23497"/>
    <w:rsid w:val="00C447A0"/>
    <w:rsid w:val="00C5417C"/>
    <w:rsid w:val="00C700D4"/>
    <w:rsid w:val="00C74EEA"/>
    <w:rsid w:val="00C81542"/>
    <w:rsid w:val="00C83066"/>
    <w:rsid w:val="00C858E7"/>
    <w:rsid w:val="00CA652B"/>
    <w:rsid w:val="00CB34F6"/>
    <w:rsid w:val="00CC6483"/>
    <w:rsid w:val="00CD3E40"/>
    <w:rsid w:val="00CF40C3"/>
    <w:rsid w:val="00CF7494"/>
    <w:rsid w:val="00D04F55"/>
    <w:rsid w:val="00D32D98"/>
    <w:rsid w:val="00D8014A"/>
    <w:rsid w:val="00DA6779"/>
    <w:rsid w:val="00DB44A6"/>
    <w:rsid w:val="00DD1218"/>
    <w:rsid w:val="00E14092"/>
    <w:rsid w:val="00E249B6"/>
    <w:rsid w:val="00E36ABC"/>
    <w:rsid w:val="00E54404"/>
    <w:rsid w:val="00E94BD0"/>
    <w:rsid w:val="00ED5901"/>
    <w:rsid w:val="00ED680D"/>
    <w:rsid w:val="00EE63DD"/>
    <w:rsid w:val="00EF2591"/>
    <w:rsid w:val="00EF6578"/>
    <w:rsid w:val="00F05C44"/>
    <w:rsid w:val="00F06D5A"/>
    <w:rsid w:val="00F07BE2"/>
    <w:rsid w:val="00F15180"/>
    <w:rsid w:val="00F175BF"/>
    <w:rsid w:val="00F33A58"/>
    <w:rsid w:val="00F343E4"/>
    <w:rsid w:val="00F56025"/>
    <w:rsid w:val="00F61CFF"/>
    <w:rsid w:val="00F67EC0"/>
    <w:rsid w:val="00F87E6C"/>
    <w:rsid w:val="00FA77B3"/>
    <w:rsid w:val="00FB1990"/>
    <w:rsid w:val="00FD5B63"/>
    <w:rsid w:val="00FD5E9D"/>
    <w:rsid w:val="00FE1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4E8D"/>
  <w15:chartTrackingRefBased/>
  <w15:docId w15:val="{FB937328-3E6C-FB47-9CF0-B6F7A21A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424"/>
    <w:rPr>
      <w:rFonts w:eastAsiaTheme="majorEastAsia" w:cstheme="majorBidi"/>
      <w:color w:val="272727" w:themeColor="text1" w:themeTint="D8"/>
    </w:rPr>
  </w:style>
  <w:style w:type="paragraph" w:styleId="Title">
    <w:name w:val="Title"/>
    <w:basedOn w:val="Normal"/>
    <w:next w:val="Normal"/>
    <w:link w:val="TitleChar"/>
    <w:uiPriority w:val="10"/>
    <w:qFormat/>
    <w:rsid w:val="007C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424"/>
    <w:pPr>
      <w:spacing w:before="160"/>
      <w:jc w:val="center"/>
    </w:pPr>
    <w:rPr>
      <w:i/>
      <w:iCs/>
      <w:color w:val="404040" w:themeColor="text1" w:themeTint="BF"/>
    </w:rPr>
  </w:style>
  <w:style w:type="character" w:customStyle="1" w:styleId="QuoteChar">
    <w:name w:val="Quote Char"/>
    <w:basedOn w:val="DefaultParagraphFont"/>
    <w:link w:val="Quote"/>
    <w:uiPriority w:val="29"/>
    <w:rsid w:val="007C1424"/>
    <w:rPr>
      <w:i/>
      <w:iCs/>
      <w:color w:val="404040" w:themeColor="text1" w:themeTint="BF"/>
    </w:rPr>
  </w:style>
  <w:style w:type="paragraph" w:styleId="ListParagraph">
    <w:name w:val="List Paragraph"/>
    <w:basedOn w:val="Normal"/>
    <w:uiPriority w:val="34"/>
    <w:qFormat/>
    <w:rsid w:val="007C1424"/>
    <w:pPr>
      <w:ind w:left="720"/>
      <w:contextualSpacing/>
    </w:pPr>
  </w:style>
  <w:style w:type="character" w:styleId="IntenseEmphasis">
    <w:name w:val="Intense Emphasis"/>
    <w:basedOn w:val="DefaultParagraphFont"/>
    <w:uiPriority w:val="21"/>
    <w:qFormat/>
    <w:rsid w:val="007C1424"/>
    <w:rPr>
      <w:i/>
      <w:iCs/>
      <w:color w:val="0F4761" w:themeColor="accent1" w:themeShade="BF"/>
    </w:rPr>
  </w:style>
  <w:style w:type="paragraph" w:styleId="IntenseQuote">
    <w:name w:val="Intense Quote"/>
    <w:basedOn w:val="Normal"/>
    <w:next w:val="Normal"/>
    <w:link w:val="IntenseQuoteChar"/>
    <w:uiPriority w:val="30"/>
    <w:qFormat/>
    <w:rsid w:val="007C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424"/>
    <w:rPr>
      <w:i/>
      <w:iCs/>
      <w:color w:val="0F4761" w:themeColor="accent1" w:themeShade="BF"/>
    </w:rPr>
  </w:style>
  <w:style w:type="character" w:styleId="IntenseReference">
    <w:name w:val="Intense Reference"/>
    <w:basedOn w:val="DefaultParagraphFont"/>
    <w:uiPriority w:val="32"/>
    <w:qFormat/>
    <w:rsid w:val="007C1424"/>
    <w:rPr>
      <w:b/>
      <w:bCs/>
      <w:smallCaps/>
      <w:color w:val="0F4761" w:themeColor="accent1" w:themeShade="BF"/>
      <w:spacing w:val="5"/>
    </w:rPr>
  </w:style>
  <w:style w:type="character" w:styleId="Hyperlink">
    <w:name w:val="Hyperlink"/>
    <w:basedOn w:val="DefaultParagraphFont"/>
    <w:uiPriority w:val="99"/>
    <w:unhideWhenUsed/>
    <w:rsid w:val="002D0C56"/>
    <w:rPr>
      <w:color w:val="467886" w:themeColor="hyperlink"/>
      <w:u w:val="single"/>
    </w:rPr>
  </w:style>
  <w:style w:type="character" w:styleId="UnresolvedMention">
    <w:name w:val="Unresolved Mention"/>
    <w:basedOn w:val="DefaultParagraphFont"/>
    <w:uiPriority w:val="99"/>
    <w:semiHidden/>
    <w:unhideWhenUsed/>
    <w:rsid w:val="002D0C56"/>
    <w:rPr>
      <w:color w:val="605E5C"/>
      <w:shd w:val="clear" w:color="auto" w:fill="E1DFDD"/>
    </w:rPr>
  </w:style>
  <w:style w:type="paragraph" w:styleId="Bibliography">
    <w:name w:val="Bibliography"/>
    <w:basedOn w:val="Normal"/>
    <w:next w:val="Normal"/>
    <w:uiPriority w:val="37"/>
    <w:unhideWhenUsed/>
    <w:rsid w:val="00AD2A59"/>
    <w:pPr>
      <w:spacing w:after="240" w:line="240" w:lineRule="auto"/>
    </w:pPr>
  </w:style>
  <w:style w:type="paragraph" w:styleId="HTMLPreformatted">
    <w:name w:val="HTML Preformatted"/>
    <w:basedOn w:val="Normal"/>
    <w:link w:val="HTMLPreformattedChar"/>
    <w:uiPriority w:val="99"/>
    <w:semiHidden/>
    <w:unhideWhenUsed/>
    <w:rsid w:val="006E6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6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16501">
      <w:bodyDiv w:val="1"/>
      <w:marLeft w:val="0"/>
      <w:marRight w:val="0"/>
      <w:marTop w:val="0"/>
      <w:marBottom w:val="0"/>
      <w:divBdr>
        <w:top w:val="none" w:sz="0" w:space="0" w:color="auto"/>
        <w:left w:val="none" w:sz="0" w:space="0" w:color="auto"/>
        <w:bottom w:val="none" w:sz="0" w:space="0" w:color="auto"/>
        <w:right w:val="none" w:sz="0" w:space="0" w:color="auto"/>
      </w:divBdr>
    </w:div>
    <w:div w:id="719130355">
      <w:bodyDiv w:val="1"/>
      <w:marLeft w:val="0"/>
      <w:marRight w:val="0"/>
      <w:marTop w:val="0"/>
      <w:marBottom w:val="0"/>
      <w:divBdr>
        <w:top w:val="none" w:sz="0" w:space="0" w:color="auto"/>
        <w:left w:val="none" w:sz="0" w:space="0" w:color="auto"/>
        <w:bottom w:val="none" w:sz="0" w:space="0" w:color="auto"/>
        <w:right w:val="none" w:sz="0" w:space="0" w:color="auto"/>
      </w:divBdr>
    </w:div>
    <w:div w:id="785275199">
      <w:bodyDiv w:val="1"/>
      <w:marLeft w:val="0"/>
      <w:marRight w:val="0"/>
      <w:marTop w:val="0"/>
      <w:marBottom w:val="0"/>
      <w:divBdr>
        <w:top w:val="none" w:sz="0" w:space="0" w:color="auto"/>
        <w:left w:val="none" w:sz="0" w:space="0" w:color="auto"/>
        <w:bottom w:val="none" w:sz="0" w:space="0" w:color="auto"/>
        <w:right w:val="none" w:sz="0" w:space="0" w:color="auto"/>
      </w:divBdr>
    </w:div>
    <w:div w:id="818348706">
      <w:bodyDiv w:val="1"/>
      <w:marLeft w:val="0"/>
      <w:marRight w:val="0"/>
      <w:marTop w:val="0"/>
      <w:marBottom w:val="0"/>
      <w:divBdr>
        <w:top w:val="none" w:sz="0" w:space="0" w:color="auto"/>
        <w:left w:val="none" w:sz="0" w:space="0" w:color="auto"/>
        <w:bottom w:val="none" w:sz="0" w:space="0" w:color="auto"/>
        <w:right w:val="none" w:sz="0" w:space="0" w:color="auto"/>
      </w:divBdr>
    </w:div>
    <w:div w:id="907497673">
      <w:bodyDiv w:val="1"/>
      <w:marLeft w:val="0"/>
      <w:marRight w:val="0"/>
      <w:marTop w:val="0"/>
      <w:marBottom w:val="0"/>
      <w:divBdr>
        <w:top w:val="none" w:sz="0" w:space="0" w:color="auto"/>
        <w:left w:val="none" w:sz="0" w:space="0" w:color="auto"/>
        <w:bottom w:val="none" w:sz="0" w:space="0" w:color="auto"/>
        <w:right w:val="none" w:sz="0" w:space="0" w:color="auto"/>
      </w:divBdr>
    </w:div>
    <w:div w:id="955718871">
      <w:bodyDiv w:val="1"/>
      <w:marLeft w:val="0"/>
      <w:marRight w:val="0"/>
      <w:marTop w:val="0"/>
      <w:marBottom w:val="0"/>
      <w:divBdr>
        <w:top w:val="none" w:sz="0" w:space="0" w:color="auto"/>
        <w:left w:val="none" w:sz="0" w:space="0" w:color="auto"/>
        <w:bottom w:val="none" w:sz="0" w:space="0" w:color="auto"/>
        <w:right w:val="none" w:sz="0" w:space="0" w:color="auto"/>
      </w:divBdr>
    </w:div>
    <w:div w:id="1245917215">
      <w:bodyDiv w:val="1"/>
      <w:marLeft w:val="0"/>
      <w:marRight w:val="0"/>
      <w:marTop w:val="0"/>
      <w:marBottom w:val="0"/>
      <w:divBdr>
        <w:top w:val="none" w:sz="0" w:space="0" w:color="auto"/>
        <w:left w:val="none" w:sz="0" w:space="0" w:color="auto"/>
        <w:bottom w:val="none" w:sz="0" w:space="0" w:color="auto"/>
        <w:right w:val="none" w:sz="0" w:space="0" w:color="auto"/>
      </w:divBdr>
    </w:div>
    <w:div w:id="1314867103">
      <w:bodyDiv w:val="1"/>
      <w:marLeft w:val="0"/>
      <w:marRight w:val="0"/>
      <w:marTop w:val="0"/>
      <w:marBottom w:val="0"/>
      <w:divBdr>
        <w:top w:val="none" w:sz="0" w:space="0" w:color="auto"/>
        <w:left w:val="none" w:sz="0" w:space="0" w:color="auto"/>
        <w:bottom w:val="none" w:sz="0" w:space="0" w:color="auto"/>
        <w:right w:val="none" w:sz="0" w:space="0" w:color="auto"/>
      </w:divBdr>
    </w:div>
    <w:div w:id="1418481843">
      <w:bodyDiv w:val="1"/>
      <w:marLeft w:val="0"/>
      <w:marRight w:val="0"/>
      <w:marTop w:val="0"/>
      <w:marBottom w:val="0"/>
      <w:divBdr>
        <w:top w:val="none" w:sz="0" w:space="0" w:color="auto"/>
        <w:left w:val="none" w:sz="0" w:space="0" w:color="auto"/>
        <w:bottom w:val="none" w:sz="0" w:space="0" w:color="auto"/>
        <w:right w:val="none" w:sz="0" w:space="0" w:color="auto"/>
      </w:divBdr>
    </w:div>
    <w:div w:id="1545675501">
      <w:bodyDiv w:val="1"/>
      <w:marLeft w:val="0"/>
      <w:marRight w:val="0"/>
      <w:marTop w:val="0"/>
      <w:marBottom w:val="0"/>
      <w:divBdr>
        <w:top w:val="none" w:sz="0" w:space="0" w:color="auto"/>
        <w:left w:val="none" w:sz="0" w:space="0" w:color="auto"/>
        <w:bottom w:val="none" w:sz="0" w:space="0" w:color="auto"/>
        <w:right w:val="none" w:sz="0" w:space="0" w:color="auto"/>
      </w:divBdr>
    </w:div>
    <w:div w:id="1592273494">
      <w:bodyDiv w:val="1"/>
      <w:marLeft w:val="0"/>
      <w:marRight w:val="0"/>
      <w:marTop w:val="0"/>
      <w:marBottom w:val="0"/>
      <w:divBdr>
        <w:top w:val="none" w:sz="0" w:space="0" w:color="auto"/>
        <w:left w:val="none" w:sz="0" w:space="0" w:color="auto"/>
        <w:bottom w:val="none" w:sz="0" w:space="0" w:color="auto"/>
        <w:right w:val="none" w:sz="0" w:space="0" w:color="auto"/>
      </w:divBdr>
    </w:div>
    <w:div w:id="17146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0515-2BF4-4FC1-B234-AE913E48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dc:creator>
  <cp:keywords/>
  <dc:description/>
  <cp:lastModifiedBy>Hannah Z</cp:lastModifiedBy>
  <cp:revision>651</cp:revision>
  <cp:lastPrinted>2025-04-15T01:29:00Z</cp:lastPrinted>
  <dcterms:created xsi:type="dcterms:W3CDTF">2025-03-20T05:47:00Z</dcterms:created>
  <dcterms:modified xsi:type="dcterms:W3CDTF">2025-04-30T09:29:00Z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id="kZUk1G8m"/&gt;&lt;style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