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CF0C3" w14:textId="296B4FD4" w:rsidR="00AC71C1" w:rsidRPr="00C615BF" w:rsidRDefault="006B6D2B" w:rsidP="00C615BF">
      <w:pPr>
        <w:spacing w:after="80"/>
        <w:jc w:val="both"/>
        <w:rPr>
          <w:rFonts w:ascii="Times New Roman" w:hAnsi="Times New Roman" w:cs="Times New Roman"/>
          <w:sz w:val="40"/>
          <w:szCs w:val="40"/>
        </w:rPr>
      </w:pPr>
      <w:r w:rsidRPr="00C615BF">
        <w:rPr>
          <w:rFonts w:ascii="Times New Roman" w:hAnsi="Times New Roman" w:cs="Times New Roman"/>
          <w:sz w:val="40"/>
          <w:szCs w:val="40"/>
        </w:rPr>
        <w:t>Rapport :</w:t>
      </w:r>
      <w:r w:rsidR="00C615BF">
        <w:rPr>
          <w:rFonts w:ascii="Times New Roman" w:hAnsi="Times New Roman" w:cs="Times New Roman"/>
          <w:sz w:val="40"/>
          <w:szCs w:val="40"/>
        </w:rPr>
        <w:t xml:space="preserve"> </w:t>
      </w:r>
      <w:r w:rsidR="008F0FDF" w:rsidRPr="00C615BF">
        <w:rPr>
          <w:rFonts w:ascii="Times New Roman" w:hAnsi="Times New Roman" w:cs="Times New Roman"/>
          <w:sz w:val="40"/>
          <w:szCs w:val="40"/>
        </w:rPr>
        <w:t>Analyse multimodale de données d'athlètes</w:t>
      </w:r>
    </w:p>
    <w:p w14:paraId="285B2136" w14:textId="18B3360A" w:rsidR="006B6D2B" w:rsidRDefault="00C615BF" w:rsidP="00C615BF">
      <w:pPr>
        <w:pStyle w:val="Titre1"/>
        <w:jc w:val="both"/>
        <w:rPr>
          <w:rFonts w:ascii="Times New Roman" w:hAnsi="Times New Roman" w:cs="Times New Roman"/>
          <w:color w:val="auto"/>
          <w:u w:val="single"/>
        </w:rPr>
      </w:pPr>
      <w:r>
        <w:rPr>
          <w:rFonts w:ascii="Times New Roman" w:hAnsi="Times New Roman" w:cs="Times New Roman"/>
          <w:color w:val="auto"/>
          <w:u w:val="single"/>
        </w:rPr>
        <w:t xml:space="preserve">1) </w:t>
      </w:r>
      <w:r w:rsidR="006B6D2B" w:rsidRPr="006B6D2B">
        <w:rPr>
          <w:rFonts w:ascii="Times New Roman" w:hAnsi="Times New Roman" w:cs="Times New Roman"/>
          <w:color w:val="auto"/>
          <w:u w:val="single"/>
        </w:rPr>
        <w:t>Contexte</w:t>
      </w:r>
    </w:p>
    <w:p w14:paraId="45261E59" w14:textId="77777777" w:rsidR="00C615BF" w:rsidRPr="00C615BF" w:rsidRDefault="00C615BF" w:rsidP="00C615BF">
      <w:pPr>
        <w:pStyle w:val="Titre1"/>
        <w:jc w:val="both"/>
        <w:rPr>
          <w:rFonts w:ascii="Times New Roman" w:hAnsi="Times New Roman" w:cs="Times New Roman"/>
          <w:color w:val="auto"/>
          <w:u w:val="single"/>
        </w:rPr>
      </w:pPr>
    </w:p>
    <w:p w14:paraId="61425422" w14:textId="44BAA929" w:rsidR="00AC71C1" w:rsidRPr="00AC71C1" w:rsidRDefault="006B6D2B" w:rsidP="00C615BF">
      <w:pPr>
        <w:jc w:val="both"/>
        <w:rPr>
          <w:rFonts w:ascii="Times New Roman" w:hAnsi="Times New Roman" w:cs="Times New Roman"/>
        </w:rPr>
      </w:pPr>
      <w:r>
        <w:rPr>
          <w:rFonts w:ascii="Times New Roman" w:hAnsi="Times New Roman" w:cs="Times New Roman"/>
        </w:rPr>
        <w:t xml:space="preserve">Trois </w:t>
      </w:r>
      <w:r w:rsidRPr="00AC71C1">
        <w:rPr>
          <w:rFonts w:ascii="Times New Roman" w:hAnsi="Times New Roman" w:cs="Times New Roman"/>
        </w:rPr>
        <w:t>sportifs</w:t>
      </w:r>
      <w:r w:rsidR="00AC71C1" w:rsidRPr="00AC71C1">
        <w:rPr>
          <w:rFonts w:ascii="Times New Roman" w:hAnsi="Times New Roman" w:cs="Times New Roman"/>
        </w:rPr>
        <w:t xml:space="preserve"> ont été suivis de novembre 2019 à mars 2020, avec plusieurs</w:t>
      </w:r>
      <w:r w:rsidR="00AC71C1">
        <w:rPr>
          <w:rFonts w:ascii="Times New Roman" w:hAnsi="Times New Roman" w:cs="Times New Roman"/>
        </w:rPr>
        <w:t xml:space="preserve"> </w:t>
      </w:r>
      <w:r w:rsidR="00AC71C1" w:rsidRPr="00AC71C1">
        <w:rPr>
          <w:rFonts w:ascii="Times New Roman" w:hAnsi="Times New Roman" w:cs="Times New Roman"/>
        </w:rPr>
        <w:t>sources de données :</w:t>
      </w:r>
    </w:p>
    <w:p w14:paraId="48A29429" w14:textId="77777777" w:rsidR="00AC71C1" w:rsidRPr="00AC71C1" w:rsidRDefault="00AC71C1" w:rsidP="00C615BF">
      <w:pPr>
        <w:jc w:val="both"/>
        <w:rPr>
          <w:rFonts w:ascii="Times New Roman" w:hAnsi="Times New Roman" w:cs="Times New Roman"/>
        </w:rPr>
      </w:pPr>
    </w:p>
    <w:p w14:paraId="201AD3BF"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un capteur Fitbit ;</w:t>
      </w:r>
    </w:p>
    <w:p w14:paraId="4039FA9D"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des questionnaires remplis quotidiennement ;</w:t>
      </w:r>
    </w:p>
    <w:p w14:paraId="0B5023AB"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des déclarations de séances, de blessures et de repas.</w:t>
      </w:r>
    </w:p>
    <w:p w14:paraId="1C75074D" w14:textId="77777777" w:rsidR="00AC71C1" w:rsidRPr="00AC71C1" w:rsidRDefault="00AC71C1" w:rsidP="00C615BF">
      <w:pPr>
        <w:jc w:val="both"/>
        <w:rPr>
          <w:rFonts w:ascii="Times New Roman" w:hAnsi="Times New Roman" w:cs="Times New Roman"/>
        </w:rPr>
      </w:pPr>
    </w:p>
    <w:p w14:paraId="2B29B01E" w14:textId="77777777" w:rsidR="00AC71C1" w:rsidRDefault="00AC71C1" w:rsidP="00C615BF">
      <w:pPr>
        <w:jc w:val="both"/>
        <w:rPr>
          <w:rFonts w:ascii="Times New Roman" w:hAnsi="Times New Roman" w:cs="Times New Roman"/>
        </w:rPr>
      </w:pPr>
      <w:r w:rsidRPr="00AC71C1">
        <w:rPr>
          <w:rFonts w:ascii="Times New Roman" w:hAnsi="Times New Roman" w:cs="Times New Roman"/>
        </w:rPr>
        <w:t xml:space="preserve">L'objectif est d'abord de regrouper et </w:t>
      </w:r>
      <w:r>
        <w:rPr>
          <w:rFonts w:ascii="Times New Roman" w:hAnsi="Times New Roman" w:cs="Times New Roman"/>
        </w:rPr>
        <w:t>de nettoyer ces informations afin de construire</w:t>
      </w:r>
    </w:p>
    <w:p w14:paraId="5FD81921" w14:textId="77777777" w:rsidR="00AC71C1" w:rsidRDefault="00AC71C1" w:rsidP="00C615BF">
      <w:pPr>
        <w:jc w:val="both"/>
        <w:rPr>
          <w:rFonts w:ascii="Times New Roman" w:hAnsi="Times New Roman" w:cs="Times New Roman"/>
        </w:rPr>
      </w:pPr>
      <w:r>
        <w:rPr>
          <w:rFonts w:ascii="Times New Roman" w:hAnsi="Times New Roman" w:cs="Times New Roman"/>
        </w:rPr>
        <w:t>Une table utilisable pour entraîner des modèles de</w:t>
      </w:r>
      <w:r w:rsidRPr="00AC71C1">
        <w:rPr>
          <w:rFonts w:ascii="Times New Roman" w:hAnsi="Times New Roman" w:cs="Times New Roman"/>
        </w:rPr>
        <w:t xml:space="preserve"> machine learning. </w:t>
      </w:r>
    </w:p>
    <w:p w14:paraId="0799A0D1" w14:textId="0635FA83" w:rsidR="00AC71C1" w:rsidRPr="00AC71C1" w:rsidRDefault="00AC71C1" w:rsidP="00C615BF">
      <w:pPr>
        <w:jc w:val="both"/>
        <w:rPr>
          <w:rFonts w:ascii="Times New Roman" w:hAnsi="Times New Roman" w:cs="Times New Roman"/>
        </w:rPr>
      </w:pPr>
      <w:r w:rsidRPr="00AC71C1">
        <w:rPr>
          <w:rFonts w:ascii="Times New Roman" w:hAnsi="Times New Roman" w:cs="Times New Roman"/>
        </w:rPr>
        <w:t>Deux questions sont ensuite étudiées :</w:t>
      </w:r>
    </w:p>
    <w:p w14:paraId="2BBB2FAB" w14:textId="77777777" w:rsidR="00AC71C1" w:rsidRPr="00AC71C1" w:rsidRDefault="00AC71C1" w:rsidP="00C615BF">
      <w:pPr>
        <w:jc w:val="both"/>
        <w:rPr>
          <w:rFonts w:ascii="Times New Roman" w:hAnsi="Times New Roman" w:cs="Times New Roman"/>
        </w:rPr>
      </w:pPr>
    </w:p>
    <w:p w14:paraId="44E9A0C4" w14:textId="3DE969D0" w:rsidR="00AC71C1" w:rsidRPr="00AC71C1" w:rsidRDefault="00AC71C1" w:rsidP="00C615BF">
      <w:pPr>
        <w:jc w:val="both"/>
        <w:rPr>
          <w:rFonts w:ascii="Times New Roman" w:hAnsi="Times New Roman" w:cs="Times New Roman"/>
        </w:rPr>
      </w:pPr>
      <w:r w:rsidRPr="00AC71C1">
        <w:rPr>
          <w:rFonts w:ascii="Times New Roman" w:hAnsi="Times New Roman" w:cs="Times New Roman"/>
        </w:rPr>
        <w:t xml:space="preserve">1. </w:t>
      </w:r>
      <w:r>
        <w:rPr>
          <w:rFonts w:ascii="Times New Roman" w:hAnsi="Times New Roman" w:cs="Times New Roman"/>
        </w:rPr>
        <w:t>Le</w:t>
      </w:r>
      <w:r w:rsidRPr="00AC71C1">
        <w:rPr>
          <w:rFonts w:ascii="Times New Roman" w:hAnsi="Times New Roman" w:cs="Times New Roman"/>
        </w:rPr>
        <w:t xml:space="preserve"> joueur est-il en état de suivre un entraînement ? </w:t>
      </w:r>
      <w:r>
        <w:rPr>
          <w:rFonts w:ascii="Times New Roman" w:hAnsi="Times New Roman" w:cs="Times New Roman"/>
        </w:rPr>
        <w:t>P</w:t>
      </w:r>
      <w:r w:rsidRPr="00AC71C1">
        <w:rPr>
          <w:rFonts w:ascii="Times New Roman" w:hAnsi="Times New Roman" w:cs="Times New Roman"/>
        </w:rPr>
        <w:t>rédire un indice de</w:t>
      </w:r>
      <w:r>
        <w:rPr>
          <w:rFonts w:ascii="Times New Roman" w:hAnsi="Times New Roman" w:cs="Times New Roman"/>
        </w:rPr>
        <w:t xml:space="preserve"> </w:t>
      </w:r>
      <w:r w:rsidRPr="00AC71C1">
        <w:rPr>
          <w:rFonts w:ascii="Times New Roman" w:hAnsi="Times New Roman" w:cs="Times New Roman"/>
        </w:rPr>
        <w:t>préparation ;</w:t>
      </w:r>
    </w:p>
    <w:p w14:paraId="51C95A64" w14:textId="7AF8A8DC" w:rsidR="00AC71C1" w:rsidRPr="00AC71C1" w:rsidRDefault="00AC71C1" w:rsidP="00C615BF">
      <w:pPr>
        <w:jc w:val="both"/>
        <w:rPr>
          <w:rFonts w:ascii="Times New Roman" w:hAnsi="Times New Roman" w:cs="Times New Roman"/>
        </w:rPr>
      </w:pPr>
      <w:r w:rsidRPr="00AC71C1">
        <w:rPr>
          <w:rFonts w:ascii="Times New Roman" w:hAnsi="Times New Roman" w:cs="Times New Roman"/>
        </w:rPr>
        <w:t xml:space="preserve">2. </w:t>
      </w:r>
      <w:r>
        <w:rPr>
          <w:rFonts w:ascii="Times New Roman" w:hAnsi="Times New Roman" w:cs="Times New Roman"/>
        </w:rPr>
        <w:t>Risque-t-il</w:t>
      </w:r>
      <w:r w:rsidRPr="00AC71C1">
        <w:rPr>
          <w:rFonts w:ascii="Times New Roman" w:hAnsi="Times New Roman" w:cs="Times New Roman"/>
        </w:rPr>
        <w:t xml:space="preserve"> de se blesser ?  </w:t>
      </w:r>
      <w:r>
        <w:rPr>
          <w:rFonts w:ascii="Times New Roman" w:hAnsi="Times New Roman" w:cs="Times New Roman"/>
        </w:rPr>
        <w:t>Prédire</w:t>
      </w:r>
      <w:r w:rsidRPr="00AC71C1">
        <w:rPr>
          <w:rFonts w:ascii="Times New Roman" w:hAnsi="Times New Roman" w:cs="Times New Roman"/>
        </w:rPr>
        <w:t xml:space="preserve"> le risque de blessure.</w:t>
      </w:r>
    </w:p>
    <w:p w14:paraId="349D8A57" w14:textId="77777777" w:rsidR="00AC71C1" w:rsidRPr="00AC71C1" w:rsidRDefault="00AC71C1" w:rsidP="00C615BF">
      <w:pPr>
        <w:jc w:val="both"/>
        <w:rPr>
          <w:rFonts w:ascii="Times New Roman" w:hAnsi="Times New Roman" w:cs="Times New Roman"/>
        </w:rPr>
      </w:pPr>
    </w:p>
    <w:p w14:paraId="1AD1078C"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L'audit préalable révèle des limites qui conditionnent ces deux objectifs :</w:t>
      </w:r>
    </w:p>
    <w:p w14:paraId="601B3477" w14:textId="15E6CBF5" w:rsidR="00AC71C1" w:rsidRPr="00AC71C1" w:rsidRDefault="00AC71C1" w:rsidP="00C615BF">
      <w:pPr>
        <w:pStyle w:val="Paragraphedeliste"/>
        <w:numPr>
          <w:ilvl w:val="0"/>
          <w:numId w:val="6"/>
        </w:numPr>
        <w:jc w:val="both"/>
        <w:rPr>
          <w:rFonts w:ascii="Times New Roman" w:hAnsi="Times New Roman" w:cs="Times New Roman"/>
        </w:rPr>
      </w:pPr>
      <w:r w:rsidRPr="00AC71C1">
        <w:rPr>
          <w:rFonts w:ascii="Times New Roman" w:hAnsi="Times New Roman" w:cs="Times New Roman"/>
        </w:rPr>
        <w:t>4 épisodes de blessure distincts sur l'ensemble des participants, et des</w:t>
      </w:r>
    </w:p>
    <w:p w14:paraId="5C0FB9A3" w14:textId="06E8D690" w:rsidR="00AC71C1" w:rsidRPr="00AC71C1" w:rsidRDefault="00AC71C1" w:rsidP="00C615BF">
      <w:pPr>
        <w:pStyle w:val="Paragraphedeliste"/>
        <w:numPr>
          <w:ilvl w:val="0"/>
          <w:numId w:val="6"/>
        </w:numPr>
        <w:jc w:val="both"/>
        <w:rPr>
          <w:rFonts w:ascii="Times New Roman" w:hAnsi="Times New Roman" w:cs="Times New Roman"/>
        </w:rPr>
      </w:pPr>
      <w:r w:rsidRPr="00AC71C1">
        <w:rPr>
          <w:rFonts w:ascii="Times New Roman" w:hAnsi="Times New Roman" w:cs="Times New Roman"/>
        </w:rPr>
        <w:t>Protocoles de déclaration hétérogènes d'un sujet à l'autre.</w:t>
      </w:r>
    </w:p>
    <w:p w14:paraId="3F896666" w14:textId="4663E49C"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Les données disponibles</w:t>
      </w:r>
      <w:r w:rsidR="00476C30" w:rsidRPr="00F37F75">
        <w:rPr>
          <w:rFonts w:ascii="Times New Roman" w:hAnsi="Times New Roman" w:cs="Times New Roman"/>
        </w:rPr>
        <w:t xml:space="preserve"> </w:t>
      </w:r>
      <w:r w:rsidR="00AC71C1">
        <w:rPr>
          <w:rFonts w:ascii="Times New Roman" w:hAnsi="Times New Roman" w:cs="Times New Roman"/>
        </w:rPr>
        <w:t xml:space="preserve">et </w:t>
      </w:r>
      <w:r w:rsidR="00AC71C1">
        <w:t>état de l'art pour construire un indice de préparation</w:t>
      </w:r>
    </w:p>
    <w:p w14:paraId="152A3E89"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Fitbit fournit des données objectives sur l'activité physique, la fréquence cardiaque, le sommeil et les séances détectées.</w:t>
      </w:r>
    </w:p>
    <w:p w14:paraId="10ADBB54" w14:textId="6CABA5D2"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Les questionnaires quotidiens fournissent des informations sur la fatigue, l'humeur, la qualité du sommeil, les courbatures, le stress et la disponibilité perçue du joueur (readiness). Ces variables sont proches des dimensions utilisées dans le suivi quotidien des athlètes, notamment dans l'approche de Hooper et Mackinnon (</w:t>
      </w:r>
      <w:r w:rsidR="00CF44F1" w:rsidRPr="00F37F75">
        <w:rPr>
          <w:rFonts w:ascii="Times New Roman" w:hAnsi="Times New Roman" w:cs="Times New Roman"/>
        </w:rPr>
        <w:t>1995)</w:t>
      </w:r>
      <w:r w:rsidR="001F0E97" w:rsidRPr="00F37F75">
        <w:rPr>
          <w:rFonts w:ascii="Times New Roman" w:hAnsi="Times New Roman" w:cs="Times New Roman"/>
        </w:rPr>
        <w:t xml:space="preserve"> </w:t>
      </w:r>
      <w:r w:rsidRPr="00F37F75">
        <w:rPr>
          <w:rFonts w:ascii="Times New Roman" w:hAnsi="Times New Roman" w:cs="Times New Roman"/>
        </w:rPr>
        <w:t>.</w:t>
      </w:r>
    </w:p>
    <w:p w14:paraId="73F849C6" w14:textId="3D2CB884"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On dispose également d'informations ponctuelles sur les séances d'entraînement</w:t>
      </w:r>
      <w:r w:rsidR="00DB62DA" w:rsidRPr="00F37F75">
        <w:rPr>
          <w:rFonts w:ascii="Times New Roman" w:hAnsi="Times New Roman" w:cs="Times New Roman"/>
        </w:rPr>
        <w:t> :</w:t>
      </w:r>
      <w:r w:rsidRPr="00F37F75">
        <w:rPr>
          <w:rFonts w:ascii="Times New Roman" w:hAnsi="Times New Roman" w:cs="Times New Roman"/>
        </w:rPr>
        <w:t xml:space="preserve"> effort perçu et durée </w:t>
      </w:r>
      <w:r w:rsidR="00DB62DA" w:rsidRPr="00F37F75">
        <w:rPr>
          <w:rFonts w:ascii="Times New Roman" w:hAnsi="Times New Roman" w:cs="Times New Roman"/>
        </w:rPr>
        <w:t>et</w:t>
      </w:r>
      <w:r w:rsidRPr="00F37F75">
        <w:rPr>
          <w:rFonts w:ascii="Times New Roman" w:hAnsi="Times New Roman" w:cs="Times New Roman"/>
        </w:rPr>
        <w:t xml:space="preserve"> ainsi que sur les blessures et l'alimentation.</w:t>
      </w:r>
    </w:p>
    <w:p w14:paraId="17331CFB" w14:textId="3A527A86"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jeu de données ne contient </w:t>
      </w:r>
      <w:r w:rsidRPr="00F37F75">
        <w:rPr>
          <w:rFonts w:ascii="Times New Roman" w:hAnsi="Times New Roman" w:cs="Times New Roman"/>
          <w:b/>
          <w:bCs/>
        </w:rPr>
        <w:t>aucune mesure directe de la performance sportive</w:t>
      </w:r>
      <w:r w:rsidRPr="00F37F75">
        <w:rPr>
          <w:rFonts w:ascii="Times New Roman" w:hAnsi="Times New Roman" w:cs="Times New Roman"/>
        </w:rPr>
        <w:t xml:space="preserve"> : ni temps, ni puissance, ni résultat de test physique </w:t>
      </w:r>
      <w:r w:rsidR="003F0CF2" w:rsidRPr="00F37F75">
        <w:rPr>
          <w:rFonts w:ascii="Times New Roman" w:hAnsi="Times New Roman" w:cs="Times New Roman"/>
        </w:rPr>
        <w:t>ni</w:t>
      </w:r>
      <w:r w:rsidRPr="00F37F75">
        <w:rPr>
          <w:rFonts w:ascii="Times New Roman" w:hAnsi="Times New Roman" w:cs="Times New Roman"/>
        </w:rPr>
        <w:t xml:space="preserve"> de compétition. Il n'est donc pas possible de construire un score de performance validé </w:t>
      </w:r>
      <w:r w:rsidR="003F0CF2" w:rsidRPr="00F37F75">
        <w:rPr>
          <w:rFonts w:ascii="Times New Roman" w:hAnsi="Times New Roman" w:cs="Times New Roman"/>
        </w:rPr>
        <w:t>par rapport à</w:t>
      </w:r>
      <w:r w:rsidRPr="00F37F75">
        <w:rPr>
          <w:rFonts w:ascii="Times New Roman" w:hAnsi="Times New Roman" w:cs="Times New Roman"/>
        </w:rPr>
        <w:t xml:space="preserve"> un critère objectif.</w:t>
      </w:r>
    </w:p>
    <w:p w14:paraId="1EEB79F7" w14:textId="33EEF9E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À la place, je construis un indice de readiness, </w:t>
      </w:r>
      <w:r w:rsidR="003F0CF2" w:rsidRPr="00F37F75">
        <w:rPr>
          <w:rFonts w:ascii="Times New Roman" w:hAnsi="Times New Roman" w:cs="Times New Roman"/>
        </w:rPr>
        <w:t>un indicateur de l'état de préparation du joueur,</w:t>
      </w:r>
      <w:r w:rsidRPr="00F37F75">
        <w:rPr>
          <w:rFonts w:ascii="Times New Roman" w:hAnsi="Times New Roman" w:cs="Times New Roman"/>
        </w:rPr>
        <w:t xml:space="preserve"> à partir des informations disponibles. Cette notion est utilisée dans la littérature pour décrire l'état de préparation ou de récupération d'un athlète (Sansone et al., 2023)</w:t>
      </w:r>
      <w:r w:rsidR="00C615BF">
        <w:rPr>
          <w:rFonts w:ascii="Times New Roman" w:hAnsi="Times New Roman" w:cs="Times New Roman"/>
        </w:rPr>
        <w:t>.</w:t>
      </w:r>
    </w:p>
    <w:p w14:paraId="4AB2B5B9" w14:textId="30ABECC0"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Une distinction importante oriente la suite : Saw et al. (2016), </w:t>
      </w:r>
      <w:r w:rsidR="00C615BF">
        <w:rPr>
          <w:rFonts w:ascii="Times New Roman" w:hAnsi="Times New Roman" w:cs="Times New Roman"/>
        </w:rPr>
        <w:t>dans</w:t>
      </w:r>
      <w:r w:rsidRPr="00F37F75">
        <w:rPr>
          <w:rFonts w:ascii="Times New Roman" w:hAnsi="Times New Roman" w:cs="Times New Roman"/>
        </w:rPr>
        <w:t xml:space="preserve"> une revue systématique de 56 études, établissent que mesures subjectives et objectives du bien-être ne corrèlent généralement pas, les premières reflétant la charge d'entraînement avec une sensibilité supérieure.</w:t>
      </w:r>
    </w:p>
    <w:p w14:paraId="44F24E80" w14:textId="014617F5"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Le lien entre readiness et performance n'est d'ailleurs pas établi, y compris lorsque les deux sont mesurés. Janetzki et al. (2023) ont systématisé 165 études et méta-analysé vingt marqueurs de readiness : seule la hauteur de saut vertical prédit la vitesse sur 10 mètres (r = 0,69), les marqueurs physiologiques et biochimiques</w:t>
      </w:r>
      <w:r w:rsidR="00CF44F1" w:rsidRPr="00F37F75">
        <w:rPr>
          <w:rFonts w:ascii="Times New Roman" w:hAnsi="Times New Roman" w:cs="Times New Roman"/>
        </w:rPr>
        <w:t xml:space="preserve"> : </w:t>
      </w:r>
      <w:r w:rsidRPr="00F37F75">
        <w:rPr>
          <w:rFonts w:ascii="Times New Roman" w:hAnsi="Times New Roman" w:cs="Times New Roman"/>
        </w:rPr>
        <w:t xml:space="preserve">cortisol salivaire, fréquence cardiaque sous-maximale, variabilité cardiaque, protéine C-réactive ne </w:t>
      </w:r>
      <w:r w:rsidR="00476C30" w:rsidRPr="00F37F75">
        <w:rPr>
          <w:rFonts w:ascii="Times New Roman" w:hAnsi="Times New Roman" w:cs="Times New Roman"/>
        </w:rPr>
        <w:t>montrent</w:t>
      </w:r>
      <w:r w:rsidRPr="00F37F75">
        <w:rPr>
          <w:rFonts w:ascii="Times New Roman" w:hAnsi="Times New Roman" w:cs="Times New Roman"/>
        </w:rPr>
        <w:t xml:space="preserve"> pas d'association significative avec la performance.</w:t>
      </w:r>
    </w:p>
    <w:p w14:paraId="7911B8F7" w14:textId="37F1C6F4" w:rsidR="00AC71C1" w:rsidRDefault="00AC71C1" w:rsidP="00C615BF">
      <w:pPr>
        <w:spacing w:after="140" w:line="276" w:lineRule="auto"/>
        <w:jc w:val="both"/>
        <w:rPr>
          <w:rFonts w:ascii="Times New Roman" w:hAnsi="Times New Roman" w:cs="Times New Roman"/>
        </w:rPr>
      </w:pPr>
    </w:p>
    <w:p w14:paraId="516A6152" w14:textId="79246918" w:rsidR="00AC71C1" w:rsidRDefault="00AC71C1" w:rsidP="00C615BF">
      <w:pPr>
        <w:spacing w:after="140" w:line="276" w:lineRule="auto"/>
        <w:jc w:val="both"/>
        <w:rPr>
          <w:rFonts w:ascii="Times New Roman" w:hAnsi="Times New Roman" w:cs="Times New Roman"/>
        </w:rPr>
      </w:pPr>
    </w:p>
    <w:p w14:paraId="04E0A38D" w14:textId="77777777" w:rsidR="00AC71C1" w:rsidRPr="00F37F75" w:rsidRDefault="00AC71C1" w:rsidP="00C615BF">
      <w:pPr>
        <w:spacing w:after="140" w:line="276" w:lineRule="auto"/>
        <w:jc w:val="both"/>
        <w:rPr>
          <w:rFonts w:ascii="Times New Roman" w:hAnsi="Times New Roman" w:cs="Times New Roman"/>
        </w:rPr>
      </w:pPr>
    </w:p>
    <w:p w14:paraId="1EBA6B9B" w14:textId="607F59DD" w:rsidR="008F0FDF" w:rsidRPr="00F40F92" w:rsidRDefault="00C615BF" w:rsidP="00C615BF">
      <w:pPr>
        <w:pStyle w:val="Titre1"/>
        <w:spacing w:before="320" w:after="180"/>
        <w:jc w:val="both"/>
        <w:rPr>
          <w:rFonts w:ascii="Times New Roman" w:hAnsi="Times New Roman" w:cs="Times New Roman"/>
          <w:color w:val="auto"/>
          <w:u w:val="single"/>
        </w:rPr>
      </w:pPr>
      <w:r>
        <w:rPr>
          <w:rFonts w:ascii="Times New Roman" w:hAnsi="Times New Roman" w:cs="Times New Roman"/>
          <w:color w:val="auto"/>
          <w:u w:val="single"/>
        </w:rPr>
        <w:lastRenderedPageBreak/>
        <w:t xml:space="preserve">2) </w:t>
      </w:r>
      <w:r w:rsidR="008F0FDF" w:rsidRPr="00F40F92">
        <w:rPr>
          <w:rFonts w:ascii="Times New Roman" w:hAnsi="Times New Roman" w:cs="Times New Roman"/>
          <w:color w:val="auto"/>
          <w:u w:val="single"/>
        </w:rPr>
        <w:t>Audit des données</w:t>
      </w:r>
    </w:p>
    <w:p w14:paraId="4B0A50F5" w14:textId="47BE7D4B" w:rsidR="00AC71C1" w:rsidRDefault="00AC71C1" w:rsidP="00C615BF">
      <w:pPr>
        <w:pStyle w:val="Titre2"/>
        <w:spacing w:before="260" w:after="140"/>
        <w:jc w:val="both"/>
        <w:rPr>
          <w:rFonts w:ascii="Times New Roman" w:hAnsi="Times New Roman" w:cs="Times New Roman"/>
          <w:b w:val="0"/>
          <w:bCs w:val="0"/>
          <w:color w:val="auto"/>
          <w:sz w:val="22"/>
          <w:szCs w:val="22"/>
        </w:rPr>
      </w:pPr>
      <w:r w:rsidRPr="00AC71C1">
        <w:rPr>
          <w:rFonts w:ascii="Times New Roman" w:hAnsi="Times New Roman" w:cs="Times New Roman"/>
          <w:b w:val="0"/>
          <w:bCs w:val="0"/>
          <w:color w:val="auto"/>
          <w:sz w:val="22"/>
          <w:szCs w:val="22"/>
        </w:rPr>
        <w:t xml:space="preserve">La construction de la table </w:t>
      </w:r>
      <w:r w:rsidR="002844B7">
        <w:rPr>
          <w:rFonts w:ascii="Times New Roman" w:hAnsi="Times New Roman" w:cs="Times New Roman"/>
          <w:b w:val="0"/>
          <w:bCs w:val="0"/>
          <w:color w:val="auto"/>
          <w:sz w:val="22"/>
          <w:szCs w:val="22"/>
        </w:rPr>
        <w:t>(</w:t>
      </w:r>
      <w:r w:rsidR="002844B7" w:rsidRPr="00AC71C1">
        <w:rPr>
          <w:rFonts w:ascii="Times New Roman" w:hAnsi="Times New Roman" w:cs="Times New Roman"/>
          <w:b w:val="0"/>
          <w:bCs w:val="0"/>
          <w:color w:val="auto"/>
          <w:sz w:val="22"/>
          <w:szCs w:val="22"/>
        </w:rPr>
        <w:t>une</w:t>
      </w:r>
      <w:r w:rsidRPr="00AC71C1">
        <w:rPr>
          <w:rFonts w:ascii="Times New Roman" w:hAnsi="Times New Roman" w:cs="Times New Roman"/>
          <w:b w:val="0"/>
          <w:bCs w:val="0"/>
          <w:color w:val="auto"/>
          <w:sz w:val="22"/>
          <w:szCs w:val="22"/>
        </w:rPr>
        <w:t xml:space="preserve"> ligne par participant et par </w:t>
      </w:r>
      <w:r w:rsidR="00C615BF" w:rsidRPr="00AC71C1">
        <w:rPr>
          <w:rFonts w:ascii="Times New Roman" w:hAnsi="Times New Roman" w:cs="Times New Roman"/>
          <w:b w:val="0"/>
          <w:bCs w:val="0"/>
          <w:color w:val="auto"/>
          <w:sz w:val="22"/>
          <w:szCs w:val="22"/>
        </w:rPr>
        <w:t>jour)</w:t>
      </w:r>
      <w:r w:rsidRPr="00AC71C1">
        <w:rPr>
          <w:rFonts w:ascii="Times New Roman" w:hAnsi="Times New Roman" w:cs="Times New Roman"/>
          <w:b w:val="0"/>
          <w:bCs w:val="0"/>
          <w:color w:val="auto"/>
          <w:sz w:val="22"/>
          <w:szCs w:val="22"/>
        </w:rPr>
        <w:t xml:space="preserve"> a </w:t>
      </w:r>
      <w:r>
        <w:rPr>
          <w:rFonts w:ascii="Times New Roman" w:hAnsi="Times New Roman" w:cs="Times New Roman"/>
          <w:b w:val="0"/>
          <w:bCs w:val="0"/>
          <w:color w:val="auto"/>
          <w:sz w:val="22"/>
          <w:szCs w:val="22"/>
        </w:rPr>
        <w:t>été précédée</w:t>
      </w:r>
      <w:r w:rsidRPr="00AC71C1">
        <w:rPr>
          <w:rFonts w:ascii="Times New Roman" w:hAnsi="Times New Roman" w:cs="Times New Roman"/>
          <w:b w:val="0"/>
          <w:bCs w:val="0"/>
          <w:color w:val="auto"/>
          <w:sz w:val="22"/>
          <w:szCs w:val="22"/>
        </w:rPr>
        <w:t xml:space="preserve"> d'un audit des sources, les décisions de traitement </w:t>
      </w:r>
      <w:r>
        <w:rPr>
          <w:rFonts w:ascii="Times New Roman" w:hAnsi="Times New Roman" w:cs="Times New Roman"/>
          <w:b w:val="0"/>
          <w:bCs w:val="0"/>
          <w:color w:val="auto"/>
          <w:sz w:val="22"/>
          <w:szCs w:val="22"/>
        </w:rPr>
        <w:t>dépendent</w:t>
      </w:r>
      <w:r w:rsidRPr="00AC71C1">
        <w:rPr>
          <w:rFonts w:ascii="Times New Roman" w:hAnsi="Times New Roman" w:cs="Times New Roman"/>
          <w:b w:val="0"/>
          <w:bCs w:val="0"/>
          <w:color w:val="auto"/>
          <w:sz w:val="22"/>
          <w:szCs w:val="22"/>
        </w:rPr>
        <w:t xml:space="preserve"> de ce que</w:t>
      </w:r>
      <w:r>
        <w:rPr>
          <w:rFonts w:ascii="Times New Roman" w:hAnsi="Times New Roman" w:cs="Times New Roman"/>
          <w:b w:val="0"/>
          <w:bCs w:val="0"/>
          <w:color w:val="auto"/>
          <w:sz w:val="22"/>
          <w:szCs w:val="22"/>
        </w:rPr>
        <w:t xml:space="preserve"> </w:t>
      </w:r>
      <w:r w:rsidR="00C615BF">
        <w:rPr>
          <w:rFonts w:ascii="Times New Roman" w:hAnsi="Times New Roman" w:cs="Times New Roman"/>
          <w:b w:val="0"/>
          <w:bCs w:val="0"/>
          <w:color w:val="auto"/>
          <w:sz w:val="22"/>
          <w:szCs w:val="22"/>
        </w:rPr>
        <w:t>les</w:t>
      </w:r>
      <w:r w:rsidRPr="00AC71C1">
        <w:rPr>
          <w:rFonts w:ascii="Times New Roman" w:hAnsi="Times New Roman" w:cs="Times New Roman"/>
          <w:b w:val="0"/>
          <w:bCs w:val="0"/>
          <w:color w:val="auto"/>
          <w:sz w:val="22"/>
          <w:szCs w:val="22"/>
        </w:rPr>
        <w:t xml:space="preserve"> fichiers contiennent réellement. Cinq constats en ressortent</w:t>
      </w:r>
    </w:p>
    <w:p w14:paraId="626710D4" w14:textId="380C4D9D" w:rsidR="008F0FDF" w:rsidRPr="00AC71C1" w:rsidRDefault="008F0FDF" w:rsidP="00C615BF">
      <w:pPr>
        <w:pStyle w:val="Titre2"/>
        <w:spacing w:before="260" w:after="140"/>
        <w:jc w:val="both"/>
        <w:rPr>
          <w:rFonts w:ascii="Times New Roman" w:hAnsi="Times New Roman" w:cs="Times New Roman"/>
          <w:b w:val="0"/>
          <w:bCs w:val="0"/>
          <w:color w:val="auto"/>
          <w:sz w:val="22"/>
          <w:szCs w:val="22"/>
        </w:rPr>
      </w:pPr>
      <w:r w:rsidRPr="00F37F75">
        <w:rPr>
          <w:rFonts w:ascii="Times New Roman" w:hAnsi="Times New Roman" w:cs="Times New Roman"/>
        </w:rPr>
        <w:t>Couverture hétérogène</w:t>
      </w:r>
    </w:p>
    <w:p w14:paraId="02DF75A6" w14:textId="528772A3" w:rsidR="00AC71C1"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w:t>
      </w:r>
      <w:r w:rsidR="00AC71C1">
        <w:rPr>
          <w:rFonts w:ascii="Times New Roman" w:hAnsi="Times New Roman" w:cs="Times New Roman"/>
        </w:rPr>
        <w:t>3</w:t>
      </w:r>
      <w:r w:rsidRPr="00F37F75">
        <w:rPr>
          <w:rFonts w:ascii="Times New Roman" w:hAnsi="Times New Roman" w:cs="Times New Roman"/>
        </w:rPr>
        <w:t xml:space="preserve"> </w:t>
      </w:r>
      <w:r w:rsidR="00AC71C1">
        <w:rPr>
          <w:rFonts w:ascii="Times New Roman" w:hAnsi="Times New Roman" w:cs="Times New Roman"/>
        </w:rPr>
        <w:t>sujets</w:t>
      </w:r>
      <w:r w:rsidRPr="00F37F75">
        <w:rPr>
          <w:rFonts w:ascii="Times New Roman" w:hAnsi="Times New Roman" w:cs="Times New Roman"/>
        </w:rPr>
        <w:t xml:space="preserve"> couvrent la même période</w:t>
      </w:r>
      <w:r w:rsidR="00DB62DA" w:rsidRPr="00F37F75">
        <w:rPr>
          <w:rFonts w:ascii="Times New Roman" w:hAnsi="Times New Roman" w:cs="Times New Roman"/>
        </w:rPr>
        <w:t xml:space="preserve">, mais </w:t>
      </w:r>
      <w:r w:rsidR="00476C30" w:rsidRPr="00F37F75">
        <w:rPr>
          <w:rFonts w:ascii="Times New Roman" w:hAnsi="Times New Roman" w:cs="Times New Roman"/>
        </w:rPr>
        <w:t>présentent</w:t>
      </w:r>
      <w:r w:rsidR="00DB62DA" w:rsidRPr="00F37F75">
        <w:rPr>
          <w:rFonts w:ascii="Times New Roman" w:hAnsi="Times New Roman" w:cs="Times New Roman"/>
        </w:rPr>
        <w:t xml:space="preserve"> des disponibilités très différentes : 152 jours de données Fitbit pour p01, 144 pour p05 et</w:t>
      </w:r>
      <w:r w:rsidRPr="00F37F75">
        <w:rPr>
          <w:rFonts w:ascii="Times New Roman" w:hAnsi="Times New Roman" w:cs="Times New Roman"/>
        </w:rPr>
        <w:t xml:space="preserve"> 122 pour p03.</w:t>
      </w:r>
    </w:p>
    <w:p w14:paraId="26FD7F57" w14:textId="1398BD2A"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 Les jours manquants forment des blocs </w:t>
      </w:r>
      <w:r w:rsidR="00AC71C1">
        <w:rPr>
          <w:rFonts w:ascii="Times New Roman" w:hAnsi="Times New Roman" w:cs="Times New Roman"/>
        </w:rPr>
        <w:t>de</w:t>
      </w:r>
      <w:r w:rsidRPr="00F37F75">
        <w:rPr>
          <w:rFonts w:ascii="Times New Roman" w:hAnsi="Times New Roman" w:cs="Times New Roman"/>
        </w:rPr>
        <w:t xml:space="preserve"> 23 jours consécutifs chez p03 en novembre-décembre, </w:t>
      </w:r>
      <w:r w:rsidR="00AC71C1">
        <w:rPr>
          <w:rFonts w:ascii="Times New Roman" w:hAnsi="Times New Roman" w:cs="Times New Roman"/>
        </w:rPr>
        <w:t>et de 6 jours chez p05 fin février,</w:t>
      </w:r>
      <w:r w:rsidRPr="00F37F75">
        <w:rPr>
          <w:rFonts w:ascii="Times New Roman" w:hAnsi="Times New Roman" w:cs="Times New Roman"/>
        </w:rPr>
        <w:t xml:space="preserve"> </w:t>
      </w:r>
      <w:r w:rsidR="00DB62DA" w:rsidRPr="00F37F75">
        <w:rPr>
          <w:rFonts w:ascii="Times New Roman" w:hAnsi="Times New Roman" w:cs="Times New Roman"/>
        </w:rPr>
        <w:t>plutôt que</w:t>
      </w:r>
      <w:r w:rsidRPr="00F37F75">
        <w:rPr>
          <w:rFonts w:ascii="Times New Roman" w:hAnsi="Times New Roman" w:cs="Times New Roman"/>
        </w:rPr>
        <w:t xml:space="preserve"> des trous dispersés, ce qui oriente vers des périodes sans port du bracelet. </w:t>
      </w:r>
      <w:r w:rsidR="00AC71C1" w:rsidRPr="00F37F75">
        <w:rPr>
          <w:rFonts w:ascii="Times New Roman" w:hAnsi="Times New Roman" w:cs="Times New Roman"/>
        </w:rPr>
        <w:t>P</w:t>
      </w:r>
      <w:r w:rsidRPr="00F37F75">
        <w:rPr>
          <w:rFonts w:ascii="Times New Roman" w:hAnsi="Times New Roman" w:cs="Times New Roman"/>
        </w:rPr>
        <w:t>03 ne dispose par ailleurs d'aucun fichier de fréquence cardiaque</w:t>
      </w:r>
      <w:r w:rsidR="00AC71C1">
        <w:rPr>
          <w:rFonts w:ascii="Times New Roman" w:hAnsi="Times New Roman" w:cs="Times New Roman"/>
        </w:rPr>
        <w:t xml:space="preserve"> (Figure 1)</w:t>
      </w:r>
    </w:p>
    <w:p w14:paraId="660AFCC7"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drawing>
          <wp:inline distT="0" distB="0" distL="0" distR="0" wp14:anchorId="5EE61606" wp14:editId="07769104">
            <wp:extent cx="5892952" cy="35147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896221" cy="3516675"/>
                    </a:xfrm>
                    <a:prstGeom prst="rect">
                      <a:avLst/>
                    </a:prstGeom>
                  </pic:spPr>
                </pic:pic>
              </a:graphicData>
            </a:graphic>
          </wp:inline>
        </w:drawing>
      </w:r>
    </w:p>
    <w:p w14:paraId="4E9045C5" w14:textId="24DFF8C6"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1</w:t>
      </w:r>
      <w:r w:rsidR="00AC71C1">
        <w:rPr>
          <w:rFonts w:ascii="Times New Roman" w:hAnsi="Times New Roman" w:cs="Times New Roman"/>
          <w:i/>
          <w:iCs/>
          <w:color w:val="595959"/>
          <w:sz w:val="18"/>
          <w:szCs w:val="18"/>
        </w:rPr>
        <w:t xml:space="preserve"> : </w:t>
      </w:r>
      <w:r w:rsidRPr="00F37F75">
        <w:rPr>
          <w:rFonts w:ascii="Times New Roman" w:hAnsi="Times New Roman" w:cs="Times New Roman"/>
          <w:i/>
          <w:iCs/>
          <w:color w:val="595959"/>
          <w:sz w:val="18"/>
          <w:szCs w:val="18"/>
        </w:rPr>
        <w:t xml:space="preserve"> Concordance des sources par participant. Chaque trait représente un jour renseigné. Le bloc manquant de p03 en novembre-décembre et l'absence complète de </w:t>
      </w:r>
      <w:r w:rsidR="00AC71C1">
        <w:rPr>
          <w:rFonts w:ascii="Times New Roman" w:hAnsi="Times New Roman" w:cs="Times New Roman"/>
          <w:i/>
          <w:iCs/>
          <w:color w:val="595959"/>
          <w:sz w:val="18"/>
          <w:szCs w:val="18"/>
        </w:rPr>
        <w:t xml:space="preserve">la </w:t>
      </w:r>
      <w:r w:rsidRPr="00F37F75">
        <w:rPr>
          <w:rFonts w:ascii="Times New Roman" w:hAnsi="Times New Roman" w:cs="Times New Roman"/>
          <w:i/>
          <w:iCs/>
          <w:color w:val="595959"/>
          <w:sz w:val="18"/>
          <w:szCs w:val="18"/>
        </w:rPr>
        <w:t>fréquence cardiaque y sont visibles.</w:t>
      </w:r>
    </w:p>
    <w:p w14:paraId="0FD16A7D"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Valeurs générées par le capteur</w:t>
      </w:r>
    </w:p>
    <w:p w14:paraId="6FEF01AB" w14:textId="241154A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fichier </w:t>
      </w:r>
      <w:r w:rsidRPr="00F37F75">
        <w:rPr>
          <w:rFonts w:ascii="Times New Roman" w:hAnsi="Times New Roman" w:cs="Times New Roman"/>
          <w:b/>
          <w:bCs/>
        </w:rPr>
        <w:t>calories.json compte exactement 218 880 lignes pour les trois participants</w:t>
      </w:r>
      <w:r w:rsidRPr="00F37F75">
        <w:rPr>
          <w:rFonts w:ascii="Times New Roman" w:hAnsi="Times New Roman" w:cs="Times New Roman"/>
        </w:rPr>
        <w:t>, soit 152 jours × 1 440 minutes. Fitbit produit une valeur à chaque minute</w:t>
      </w:r>
      <w:r w:rsidR="00476C30" w:rsidRPr="00F37F75">
        <w:rPr>
          <w:rFonts w:ascii="Times New Roman" w:hAnsi="Times New Roman" w:cs="Times New Roman"/>
        </w:rPr>
        <w:t>, indépendamment du port réel, alors que les fichiers de pas comptent</w:t>
      </w:r>
      <w:r w:rsidRPr="00F37F75">
        <w:rPr>
          <w:rFonts w:ascii="Times New Roman" w:hAnsi="Times New Roman" w:cs="Times New Roman"/>
        </w:rPr>
        <w:t xml:space="preserve"> de 53 042 à 218 836 lignes.</w:t>
      </w:r>
    </w:p>
    <w:p w14:paraId="45B40158" w14:textId="20C42EBF" w:rsidR="006B6D2B" w:rsidRPr="00F37F75" w:rsidRDefault="008F0FDF" w:rsidP="00C615BF">
      <w:pPr>
        <w:spacing w:after="140" w:line="276" w:lineRule="auto"/>
        <w:jc w:val="both"/>
        <w:rPr>
          <w:rFonts w:ascii="Times New Roman" w:hAnsi="Times New Roman" w:cs="Times New Roman"/>
        </w:rPr>
      </w:pPr>
      <w:r w:rsidRPr="00F40F92">
        <w:rPr>
          <w:rFonts w:ascii="Times New Roman" w:hAnsi="Times New Roman" w:cs="Times New Roman"/>
          <w:b/>
          <w:bCs/>
          <w:u w:val="single"/>
        </w:rPr>
        <w:t xml:space="preserve">La complétude apparente des calories, </w:t>
      </w:r>
      <w:r w:rsidR="00476C30" w:rsidRPr="00F40F92">
        <w:rPr>
          <w:rFonts w:ascii="Times New Roman" w:hAnsi="Times New Roman" w:cs="Times New Roman"/>
          <w:b/>
          <w:bCs/>
          <w:u w:val="single"/>
        </w:rPr>
        <w:t>à</w:t>
      </w:r>
      <w:r w:rsidRPr="00F40F92">
        <w:rPr>
          <w:rFonts w:ascii="Times New Roman" w:hAnsi="Times New Roman" w:cs="Times New Roman"/>
          <w:b/>
          <w:bCs/>
          <w:u w:val="single"/>
        </w:rPr>
        <w:t xml:space="preserve"> 100 %, était donc trompeuse</w:t>
      </w:r>
      <w:r w:rsidRPr="00F37F75">
        <w:rPr>
          <w:rFonts w:ascii="Times New Roman" w:hAnsi="Times New Roman" w:cs="Times New Roman"/>
        </w:rPr>
        <w:t>. Sur les jours sans données de pas, l'écart-type des calories est de 6,5</w:t>
      </w:r>
      <w:r w:rsidR="00476C30" w:rsidRPr="00F37F75">
        <w:rPr>
          <w:rFonts w:ascii="Times New Roman" w:hAnsi="Times New Roman" w:cs="Times New Roman"/>
        </w:rPr>
        <w:t>, contre 550 sur les jours renseignés : signe</w:t>
      </w:r>
      <w:r w:rsidRPr="00F37F75">
        <w:rPr>
          <w:rFonts w:ascii="Times New Roman" w:hAnsi="Times New Roman" w:cs="Times New Roman"/>
        </w:rPr>
        <w:t xml:space="preserve"> d'un métabolisme de base calculé </w:t>
      </w:r>
      <w:r w:rsidR="00476C30" w:rsidRPr="00F37F75">
        <w:rPr>
          <w:rFonts w:ascii="Times New Roman" w:hAnsi="Times New Roman" w:cs="Times New Roman"/>
        </w:rPr>
        <w:t>plutôt que</w:t>
      </w:r>
      <w:r w:rsidRPr="00F37F75">
        <w:rPr>
          <w:rFonts w:ascii="Times New Roman" w:hAnsi="Times New Roman" w:cs="Times New Roman"/>
        </w:rPr>
        <w:t xml:space="preserve"> mesuré.</w:t>
      </w:r>
    </w:p>
    <w:p w14:paraId="4640EDC3"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Charge d'entraînement déclarée inexploitable</w:t>
      </w:r>
    </w:p>
    <w:p w14:paraId="6FD6B603" w14:textId="47F861DC"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sRPE, </w:t>
      </w:r>
      <w:r w:rsidRPr="002844B7">
        <w:rPr>
          <w:rFonts w:ascii="Times New Roman" w:hAnsi="Times New Roman" w:cs="Times New Roman"/>
          <w:b/>
          <w:bCs/>
        </w:rPr>
        <w:t>mesure de référence de la charge interne</w:t>
      </w:r>
      <w:r w:rsidRPr="00F37F75">
        <w:rPr>
          <w:rFonts w:ascii="Times New Roman" w:hAnsi="Times New Roman" w:cs="Times New Roman"/>
        </w:rPr>
        <w:t xml:space="preserve">, n'est renseigné que </w:t>
      </w:r>
      <w:r w:rsidR="00CF44F1" w:rsidRPr="00F37F75">
        <w:rPr>
          <w:rFonts w:ascii="Times New Roman" w:hAnsi="Times New Roman" w:cs="Times New Roman"/>
        </w:rPr>
        <w:t>pour</w:t>
      </w:r>
      <w:r w:rsidRPr="00F37F75">
        <w:rPr>
          <w:rFonts w:ascii="Times New Roman" w:hAnsi="Times New Roman" w:cs="Times New Roman"/>
        </w:rPr>
        <w:t xml:space="preserve"> 34 séances pour p01, 9 pour p05 et 2 pour p03 sur cinq mois. Cette source ne permet pas de construire un indicateur comparable entre </w:t>
      </w:r>
      <w:r w:rsidR="00CF44F1" w:rsidRPr="00F37F75">
        <w:rPr>
          <w:rFonts w:ascii="Times New Roman" w:hAnsi="Times New Roman" w:cs="Times New Roman"/>
        </w:rPr>
        <w:t xml:space="preserve">les </w:t>
      </w:r>
      <w:r w:rsidRPr="00F37F75">
        <w:rPr>
          <w:rFonts w:ascii="Times New Roman" w:hAnsi="Times New Roman" w:cs="Times New Roman"/>
        </w:rPr>
        <w:t>participants ; les données d'activité du capteur ont été utilisées à sa place.</w:t>
      </w:r>
    </w:p>
    <w:p w14:paraId="247B9376"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Protocoles de déclaration hétérogènes</w:t>
      </w:r>
    </w:p>
    <w:tbl>
      <w:tblPr>
        <w:tblStyle w:val="Grilledetableauclaire"/>
        <w:tblW w:w="8600" w:type="dxa"/>
        <w:tblInd w:w="509" w:type="dxa"/>
        <w:tblLook w:val="0000" w:firstRow="0" w:lastRow="0" w:firstColumn="0" w:lastColumn="0" w:noHBand="0" w:noVBand="0"/>
      </w:tblPr>
      <w:tblGrid>
        <w:gridCol w:w="2400"/>
        <w:gridCol w:w="2200"/>
        <w:gridCol w:w="2000"/>
        <w:gridCol w:w="2000"/>
      </w:tblGrid>
      <w:tr w:rsidR="008F0FDF" w:rsidRPr="00F37F75" w14:paraId="3A43FFDB" w14:textId="77777777" w:rsidTr="00CF44F1">
        <w:tc>
          <w:tcPr>
            <w:tcW w:w="2400" w:type="dxa"/>
          </w:tcPr>
          <w:p w14:paraId="33D4D69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lastRenderedPageBreak/>
              <w:t>Participant</w:t>
            </w:r>
          </w:p>
        </w:tc>
        <w:tc>
          <w:tcPr>
            <w:tcW w:w="2200" w:type="dxa"/>
          </w:tcPr>
          <w:p w14:paraId="0739CFC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Déclarations</w:t>
            </w:r>
          </w:p>
        </w:tc>
        <w:tc>
          <w:tcPr>
            <w:tcW w:w="2000" w:type="dxa"/>
          </w:tcPr>
          <w:p w14:paraId="4FE3D19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Positives</w:t>
            </w:r>
          </w:p>
        </w:tc>
        <w:tc>
          <w:tcPr>
            <w:tcW w:w="2000" w:type="dxa"/>
          </w:tcPr>
          <w:p w14:paraId="71ED5E3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Taux</w:t>
            </w:r>
          </w:p>
        </w:tc>
      </w:tr>
      <w:tr w:rsidR="008F0FDF" w:rsidRPr="00F37F75" w14:paraId="605424BC" w14:textId="77777777" w:rsidTr="00CF44F1">
        <w:tc>
          <w:tcPr>
            <w:tcW w:w="2400" w:type="dxa"/>
          </w:tcPr>
          <w:p w14:paraId="5DBB3D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p01</w:t>
            </w:r>
          </w:p>
        </w:tc>
        <w:tc>
          <w:tcPr>
            <w:tcW w:w="2200" w:type="dxa"/>
          </w:tcPr>
          <w:p w14:paraId="73430D2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24</w:t>
            </w:r>
          </w:p>
        </w:tc>
        <w:tc>
          <w:tcPr>
            <w:tcW w:w="2000" w:type="dxa"/>
          </w:tcPr>
          <w:p w14:paraId="6E5D690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w:t>
            </w:r>
          </w:p>
        </w:tc>
        <w:tc>
          <w:tcPr>
            <w:tcW w:w="2000" w:type="dxa"/>
          </w:tcPr>
          <w:p w14:paraId="1092871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4,2 %</w:t>
            </w:r>
          </w:p>
        </w:tc>
      </w:tr>
      <w:tr w:rsidR="008F0FDF" w:rsidRPr="00F37F75" w14:paraId="7C9976F3" w14:textId="77777777" w:rsidTr="00CF44F1">
        <w:tc>
          <w:tcPr>
            <w:tcW w:w="2400" w:type="dxa"/>
          </w:tcPr>
          <w:p w14:paraId="17123BC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p03</w:t>
            </w:r>
          </w:p>
        </w:tc>
        <w:tc>
          <w:tcPr>
            <w:tcW w:w="2200" w:type="dxa"/>
          </w:tcPr>
          <w:p w14:paraId="318C285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11</w:t>
            </w:r>
          </w:p>
        </w:tc>
        <w:tc>
          <w:tcPr>
            <w:tcW w:w="2000" w:type="dxa"/>
          </w:tcPr>
          <w:p w14:paraId="68F3A24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w:t>
            </w:r>
          </w:p>
        </w:tc>
        <w:tc>
          <w:tcPr>
            <w:tcW w:w="2000" w:type="dxa"/>
          </w:tcPr>
          <w:p w14:paraId="65A4C15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0 %</w:t>
            </w:r>
          </w:p>
        </w:tc>
      </w:tr>
      <w:tr w:rsidR="008F0FDF" w:rsidRPr="00F37F75" w14:paraId="1E0E912C" w14:textId="77777777" w:rsidTr="00CF44F1">
        <w:tc>
          <w:tcPr>
            <w:tcW w:w="2400" w:type="dxa"/>
          </w:tcPr>
          <w:p w14:paraId="2675346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p05</w:t>
            </w:r>
          </w:p>
        </w:tc>
        <w:tc>
          <w:tcPr>
            <w:tcW w:w="2200" w:type="dxa"/>
          </w:tcPr>
          <w:p w14:paraId="79680B1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w:t>
            </w:r>
          </w:p>
        </w:tc>
        <w:tc>
          <w:tcPr>
            <w:tcW w:w="2000" w:type="dxa"/>
          </w:tcPr>
          <w:p w14:paraId="277E499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w:t>
            </w:r>
          </w:p>
        </w:tc>
        <w:tc>
          <w:tcPr>
            <w:tcW w:w="2000" w:type="dxa"/>
          </w:tcPr>
          <w:p w14:paraId="32DB31B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100 %</w:t>
            </w:r>
          </w:p>
        </w:tc>
      </w:tr>
    </w:tbl>
    <w:p w14:paraId="2FE4031A" w14:textId="77777777" w:rsidR="008F0FDF" w:rsidRPr="00F37F75" w:rsidRDefault="008F0FDF" w:rsidP="00C615BF">
      <w:pPr>
        <w:spacing w:after="140"/>
        <w:jc w:val="both"/>
        <w:rPr>
          <w:rFonts w:ascii="Times New Roman" w:hAnsi="Times New Roman" w:cs="Times New Roman"/>
        </w:rPr>
      </w:pPr>
    </w:p>
    <w:p w14:paraId="5957C62C"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p01 renseigne le formulaire régulièrement, qu'il soit blessé ou non ; p05 ne le renseigne qu'en cas de blessure. Les trois participants ne mesurent donc pas le même phénomène.</w:t>
      </w:r>
    </w:p>
    <w:p w14:paraId="175A7C00"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Épisodes non indépendants</w:t>
      </w:r>
    </w:p>
    <w:p w14:paraId="0553C2B4"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huit déclarations de p05 localisées au pied gauche s'échelonnent du 30 janvier au 17 mars, avec des écarts de 1 à 15 jours, après 84 jours sans déclaration. Cette structure correspond </w:t>
      </w:r>
      <w:r w:rsidRPr="002844B7">
        <w:rPr>
          <w:rFonts w:ascii="Times New Roman" w:hAnsi="Times New Roman" w:cs="Times New Roman"/>
          <w:b/>
          <w:bCs/>
        </w:rPr>
        <w:t>à un épisode persistant</w:t>
      </w:r>
      <w:r w:rsidRPr="00F37F75">
        <w:rPr>
          <w:rFonts w:ascii="Times New Roman" w:hAnsi="Times New Roman" w:cs="Times New Roman"/>
        </w:rPr>
        <w:t xml:space="preserve"> redéclaré plutôt qu'à huit blessures distinctes.</w:t>
      </w:r>
    </w:p>
    <w:p w14:paraId="7961176E" w14:textId="659DA855"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Après regroupement des déclarations consécutives sur une même zone anatomique, le nombre d'épisodes distincts tombe à quatre : deux gênes isolées chez p05 en novembre (pied gauche, cou), un épisode prolongé au pied gauche de janvier à mars, et une atteinte à la main droite chez p01. Aucun ne présente les caractéristiques d'une lésion de surcharge.</w:t>
      </w:r>
    </w:p>
    <w:p w14:paraId="6C4FA7EF" w14:textId="26BE1BDF" w:rsidR="00AC71C1" w:rsidRDefault="00AC71C1" w:rsidP="00C615BF">
      <w:pPr>
        <w:pStyle w:val="Titre2"/>
        <w:jc w:val="both"/>
      </w:pPr>
      <w:r>
        <w:t xml:space="preserve">Avant de passer à l’étape suivante </w:t>
      </w:r>
    </w:p>
    <w:p w14:paraId="663FF32E" w14:textId="77777777" w:rsidR="002844B7" w:rsidRDefault="002844B7" w:rsidP="00C615BF">
      <w:pPr>
        <w:pStyle w:val="Titre2"/>
        <w:jc w:val="both"/>
      </w:pPr>
    </w:p>
    <w:p w14:paraId="119EF787" w14:textId="6A91F397" w:rsidR="002844B7" w:rsidRP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En tant que data scientist, je demanderais au fournisseur de retrouver le fichier</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 xml:space="preserve">`heart_rate.json` manquant </w:t>
      </w:r>
      <w:r>
        <w:rPr>
          <w:rFonts w:ascii="Times New Roman" w:hAnsi="Times New Roman" w:cs="Times New Roman"/>
          <w:b w:val="0"/>
          <w:bCs w:val="0"/>
          <w:i/>
          <w:iCs/>
          <w:color w:val="auto"/>
          <w:sz w:val="22"/>
          <w:szCs w:val="22"/>
        </w:rPr>
        <w:t>sur</w:t>
      </w:r>
      <w:r w:rsidRPr="002844B7">
        <w:rPr>
          <w:rFonts w:ascii="Times New Roman" w:hAnsi="Times New Roman" w:cs="Times New Roman"/>
          <w:b w:val="0"/>
          <w:bCs w:val="0"/>
          <w:i/>
          <w:iCs/>
          <w:color w:val="auto"/>
          <w:sz w:val="22"/>
          <w:szCs w:val="22"/>
        </w:rPr>
        <w:t xml:space="preserve"> p03 avant d'aller plus loin. Il ne s'agit pas de</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valeurs non enregistrées mais d'un fichier absent de la livraison : l'information</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existe probablement à la source, et aucune imputation ne peut reconstituer</w:t>
      </w:r>
    </w:p>
    <w:p w14:paraId="1A8AAAF2" w14:textId="77777777" w:rsidR="002844B7" w:rsidRP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152 jours de fréquence cardiaque.</w:t>
      </w:r>
    </w:p>
    <w:p w14:paraId="54CCC288" w14:textId="77777777" w:rsidR="002844B7" w:rsidRPr="002844B7" w:rsidRDefault="002844B7" w:rsidP="00C615BF">
      <w:pPr>
        <w:pStyle w:val="Titre2"/>
        <w:jc w:val="both"/>
        <w:rPr>
          <w:rFonts w:ascii="Times New Roman" w:hAnsi="Times New Roman" w:cs="Times New Roman"/>
          <w:b w:val="0"/>
          <w:bCs w:val="0"/>
          <w:i/>
          <w:iCs/>
          <w:color w:val="auto"/>
          <w:sz w:val="22"/>
          <w:szCs w:val="22"/>
        </w:rPr>
      </w:pPr>
    </w:p>
    <w:p w14:paraId="1A6D86F5" w14:textId="12B9211A" w:rsid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 xml:space="preserve">Je vérifierais également les protocoles de déclaration : p05 ne renseigne le formulaire de blessure que lorsqu'il est blessé, ce qui rend sa cible </w:t>
      </w:r>
      <w:r>
        <w:rPr>
          <w:rFonts w:ascii="Times New Roman" w:hAnsi="Times New Roman" w:cs="Times New Roman"/>
          <w:b w:val="0"/>
          <w:bCs w:val="0"/>
          <w:i/>
          <w:iCs/>
          <w:color w:val="auto"/>
          <w:sz w:val="22"/>
          <w:szCs w:val="22"/>
        </w:rPr>
        <w:t>incomparable</w:t>
      </w:r>
      <w:r w:rsidRPr="002844B7">
        <w:rPr>
          <w:rFonts w:ascii="Times New Roman" w:hAnsi="Times New Roman" w:cs="Times New Roman"/>
          <w:b w:val="0"/>
          <w:bCs w:val="0"/>
          <w:i/>
          <w:iCs/>
          <w:color w:val="auto"/>
          <w:sz w:val="22"/>
          <w:szCs w:val="22"/>
        </w:rPr>
        <w:t xml:space="preserve"> à celle des autres. Un protocole homogène pour déclarer l'absence de blessure</w:t>
      </w:r>
      <w:r>
        <w:rPr>
          <w:rFonts w:ascii="Times New Roman" w:hAnsi="Times New Roman" w:cs="Times New Roman"/>
          <w:b w:val="0"/>
          <w:bCs w:val="0"/>
          <w:i/>
          <w:iCs/>
          <w:color w:val="auto"/>
          <w:sz w:val="22"/>
          <w:szCs w:val="22"/>
        </w:rPr>
        <w:t>, tout comme sa présence,</w:t>
      </w:r>
      <w:r w:rsidRPr="002844B7">
        <w:rPr>
          <w:rFonts w:ascii="Times New Roman" w:hAnsi="Times New Roman" w:cs="Times New Roman"/>
          <w:b w:val="0"/>
          <w:bCs w:val="0"/>
          <w:i/>
          <w:iCs/>
          <w:color w:val="auto"/>
          <w:sz w:val="22"/>
          <w:szCs w:val="22"/>
        </w:rPr>
        <w:t xml:space="preserve"> est un prérequis </w:t>
      </w:r>
      <w:r>
        <w:rPr>
          <w:rFonts w:ascii="Times New Roman" w:hAnsi="Times New Roman" w:cs="Times New Roman"/>
          <w:b w:val="0"/>
          <w:bCs w:val="0"/>
          <w:i/>
          <w:iCs/>
          <w:color w:val="auto"/>
          <w:sz w:val="22"/>
          <w:szCs w:val="22"/>
        </w:rPr>
        <w:t>pour</w:t>
      </w:r>
      <w:r w:rsidRPr="002844B7">
        <w:rPr>
          <w:rFonts w:ascii="Times New Roman" w:hAnsi="Times New Roman" w:cs="Times New Roman"/>
          <w:b w:val="0"/>
          <w:bCs w:val="0"/>
          <w:i/>
          <w:iCs/>
          <w:color w:val="auto"/>
          <w:sz w:val="22"/>
          <w:szCs w:val="22"/>
        </w:rPr>
        <w:t xml:space="preserve"> toute modélisation.</w:t>
      </w:r>
    </w:p>
    <w:p w14:paraId="63378AE8" w14:textId="5BDD5BD4" w:rsidR="002844B7" w:rsidRPr="002844B7" w:rsidRDefault="002844B7" w:rsidP="00C615BF">
      <w:pPr>
        <w:pStyle w:val="Titre2"/>
        <w:numPr>
          <w:ilvl w:val="0"/>
          <w:numId w:val="6"/>
        </w:numPr>
        <w:jc w:val="both"/>
        <w:rPr>
          <w:rFonts w:ascii="Times New Roman" w:hAnsi="Times New Roman" w:cs="Times New Roman"/>
          <w:b w:val="0"/>
          <w:bCs w:val="0"/>
          <w:i/>
          <w:iCs/>
          <w:color w:val="auto"/>
          <w:sz w:val="22"/>
          <w:szCs w:val="22"/>
        </w:rPr>
      </w:pPr>
      <w:r>
        <w:rPr>
          <w:rFonts w:ascii="Times New Roman" w:hAnsi="Times New Roman" w:cs="Times New Roman"/>
          <w:b w:val="0"/>
          <w:bCs w:val="0"/>
          <w:i/>
          <w:iCs/>
          <w:color w:val="auto"/>
          <w:sz w:val="22"/>
          <w:szCs w:val="22"/>
        </w:rPr>
        <w:t xml:space="preserve">Revoir le protocole et les consignes données </w:t>
      </w:r>
    </w:p>
    <w:p w14:paraId="20D5E02A" w14:textId="76938FF3" w:rsidR="00A01047" w:rsidRPr="00F40F92"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 xml:space="preserve">3) </w:t>
      </w:r>
      <w:r w:rsidR="008F0FDF" w:rsidRPr="00F40F92">
        <w:rPr>
          <w:rFonts w:ascii="Times New Roman" w:hAnsi="Times New Roman" w:cs="Times New Roman"/>
          <w:color w:val="auto"/>
        </w:rPr>
        <w:t>Construction du jeu de données</w:t>
      </w:r>
    </w:p>
    <w:p w14:paraId="75C6C1B3" w14:textId="45FD427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sources présentent des granularités hétérogènes : la minute pour les flux d'activité et la fréquence cardiaque, l'événement pour les séances et les nuits, </w:t>
      </w:r>
      <w:r w:rsidR="00F40F92">
        <w:rPr>
          <w:rFonts w:ascii="Times New Roman" w:hAnsi="Times New Roman" w:cs="Times New Roman"/>
        </w:rPr>
        <w:t xml:space="preserve">et </w:t>
      </w:r>
      <w:r w:rsidRPr="00F37F75">
        <w:rPr>
          <w:rFonts w:ascii="Times New Roman" w:hAnsi="Times New Roman" w:cs="Times New Roman"/>
        </w:rPr>
        <w:t>la journée pour les questionnaires. L'unité d'analyse retenue est le couple participant-jour.</w:t>
      </w:r>
    </w:p>
    <w:p w14:paraId="4B32AA84" w14:textId="4F262554" w:rsidR="00A01047"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La fusion s'appuie sur une grille complète de 152 jours par participant</w:t>
      </w:r>
      <w:r w:rsidR="002844B7">
        <w:rPr>
          <w:rFonts w:ascii="Times New Roman" w:hAnsi="Times New Roman" w:cs="Times New Roman"/>
        </w:rPr>
        <w:t>, plutôt que sur les dates figurant dans les fichiers : les jours sans données apparaissent ainsi comme des valeurs manquantes,</w:t>
      </w:r>
      <w:r w:rsidRPr="00F37F75">
        <w:rPr>
          <w:rFonts w:ascii="Times New Roman" w:hAnsi="Times New Roman" w:cs="Times New Roman"/>
        </w:rPr>
        <w:t xml:space="preserve"> au lieu de disparaître. La table obtenue compte 456 lignes et 52 colonnes.</w:t>
      </w:r>
      <w:r w:rsidR="00A01047">
        <w:rPr>
          <w:rFonts w:ascii="Times New Roman" w:hAnsi="Times New Roman" w:cs="Times New Roman"/>
        </w:rPr>
        <w:t xml:space="preserve"> </w:t>
      </w:r>
      <w:r w:rsidR="00A01047" w:rsidRPr="00A01047">
        <w:rPr>
          <w:rFonts w:ascii="Times New Roman" w:hAnsi="Times New Roman" w:cs="Times New Roman"/>
        </w:rPr>
        <w:t>La figure 2 montre la proportion de jours renseignés pour chaque source et chaque participant.</w:t>
      </w:r>
    </w:p>
    <w:p w14:paraId="749B6812" w14:textId="77777777" w:rsidR="00A01047" w:rsidRPr="00F37F75" w:rsidRDefault="00A01047"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25F31E53" wp14:editId="204AC237">
            <wp:extent cx="4962525" cy="271984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66738" cy="2722154"/>
                    </a:xfrm>
                    <a:prstGeom prst="rect">
                      <a:avLst/>
                    </a:prstGeom>
                  </pic:spPr>
                </pic:pic>
              </a:graphicData>
            </a:graphic>
          </wp:inline>
        </w:drawing>
      </w:r>
    </w:p>
    <w:p w14:paraId="08F479D9" w14:textId="77777777" w:rsidR="00A01047"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i/>
          <w:iCs/>
          <w:color w:val="595959"/>
          <w:sz w:val="18"/>
          <w:szCs w:val="18"/>
        </w:rPr>
        <w:t>Figure 2 Complétude des sources par participant. Trois niveaux apparaissent, du capteur porté aux déclarations ponctuelles</w:t>
      </w:r>
    </w:p>
    <w:p w14:paraId="160FD61A" w14:textId="77777777" w:rsidR="00A01047" w:rsidRDefault="00A01047" w:rsidP="00C615BF">
      <w:pPr>
        <w:spacing w:after="140" w:line="276" w:lineRule="auto"/>
        <w:jc w:val="both"/>
        <w:rPr>
          <w:rFonts w:ascii="Times New Roman" w:hAnsi="Times New Roman" w:cs="Times New Roman"/>
        </w:rPr>
      </w:pPr>
    </w:p>
    <w:p w14:paraId="373CC962" w14:textId="4C816983" w:rsidR="002844B7" w:rsidRDefault="002844B7" w:rsidP="00C615BF">
      <w:pPr>
        <w:pStyle w:val="Titre2"/>
        <w:jc w:val="both"/>
      </w:pPr>
      <w:r>
        <w:t>Cas de la fréquence cardiaque</w:t>
      </w:r>
    </w:p>
    <w:p w14:paraId="1BB9A4B4" w14:textId="77777777" w:rsidR="00A01047" w:rsidRPr="002844B7" w:rsidRDefault="00A01047" w:rsidP="00C615BF">
      <w:pPr>
        <w:pStyle w:val="Titre2"/>
        <w:jc w:val="both"/>
      </w:pPr>
    </w:p>
    <w:p w14:paraId="6FE54E6C" w14:textId="25FFD711" w:rsidR="002844B7" w:rsidRPr="002844B7" w:rsidRDefault="002844B7" w:rsidP="00C615BF">
      <w:pPr>
        <w:spacing w:after="140" w:line="276" w:lineRule="auto"/>
        <w:jc w:val="both"/>
        <w:rPr>
          <w:rFonts w:ascii="Times New Roman" w:hAnsi="Times New Roman" w:cs="Times New Roman"/>
        </w:rPr>
      </w:pPr>
      <w:r w:rsidRPr="002844B7">
        <w:rPr>
          <w:rFonts w:ascii="Times New Roman" w:hAnsi="Times New Roman" w:cs="Times New Roman"/>
        </w:rPr>
        <w:t>Pour la fréquence cardiaque, 1 440 mesures par jour sont résumées par plusieurs</w:t>
      </w:r>
      <w:r>
        <w:rPr>
          <w:rFonts w:ascii="Times New Roman" w:hAnsi="Times New Roman" w:cs="Times New Roman"/>
        </w:rPr>
        <w:t xml:space="preserve"> </w:t>
      </w:r>
      <w:r w:rsidRPr="002844B7">
        <w:rPr>
          <w:rFonts w:ascii="Times New Roman" w:hAnsi="Times New Roman" w:cs="Times New Roman"/>
        </w:rPr>
        <w:t>statistiques complémentaires : la moyenne</w:t>
      </w:r>
      <w:r>
        <w:rPr>
          <w:rFonts w:ascii="Times New Roman" w:hAnsi="Times New Roman" w:cs="Times New Roman"/>
        </w:rPr>
        <w:t>, qui donne un état</w:t>
      </w:r>
      <w:r w:rsidRPr="002844B7">
        <w:rPr>
          <w:rFonts w:ascii="Times New Roman" w:hAnsi="Times New Roman" w:cs="Times New Roman"/>
        </w:rPr>
        <w:t xml:space="preserve"> général, le minimum</w:t>
      </w:r>
      <w:r>
        <w:rPr>
          <w:rFonts w:ascii="Times New Roman" w:hAnsi="Times New Roman" w:cs="Times New Roman"/>
        </w:rPr>
        <w:t xml:space="preserve">, proche de la fréquence de repos, le maximum, qui indique l'effort le plus intense, et l'écart-type, qui mesure la variabilité au cours </w:t>
      </w:r>
      <w:r w:rsidRPr="002844B7">
        <w:rPr>
          <w:rFonts w:ascii="Times New Roman" w:hAnsi="Times New Roman" w:cs="Times New Roman"/>
        </w:rPr>
        <w:t>de la journée.</w:t>
      </w:r>
    </w:p>
    <w:p w14:paraId="464C364A" w14:textId="1ECF1834" w:rsidR="00A01047" w:rsidRDefault="002844B7" w:rsidP="00C615BF">
      <w:pPr>
        <w:spacing w:after="140" w:line="276" w:lineRule="auto"/>
        <w:jc w:val="both"/>
        <w:rPr>
          <w:rFonts w:ascii="Times New Roman" w:hAnsi="Times New Roman" w:cs="Times New Roman"/>
        </w:rPr>
      </w:pPr>
      <w:r w:rsidRPr="002844B7">
        <w:rPr>
          <w:rFonts w:ascii="Times New Roman" w:hAnsi="Times New Roman" w:cs="Times New Roman"/>
        </w:rPr>
        <w:t>Deux indicateurs de qualité sont conservés : le nombre de minutes effectivement</w:t>
      </w:r>
      <w:r>
        <w:rPr>
          <w:rFonts w:ascii="Times New Roman" w:hAnsi="Times New Roman" w:cs="Times New Roman"/>
        </w:rPr>
        <w:t xml:space="preserve"> </w:t>
      </w:r>
      <w:r w:rsidRPr="002844B7">
        <w:rPr>
          <w:rFonts w:ascii="Times New Roman" w:hAnsi="Times New Roman" w:cs="Times New Roman"/>
        </w:rPr>
        <w:t>mesurées, et l'indice de confiance fourni par le capteur. Une moyenne calculée</w:t>
      </w:r>
      <w:r>
        <w:rPr>
          <w:rFonts w:ascii="Times New Roman" w:hAnsi="Times New Roman" w:cs="Times New Roman"/>
        </w:rPr>
        <w:t xml:space="preserve"> </w:t>
      </w:r>
      <w:r w:rsidRPr="002844B7">
        <w:rPr>
          <w:rFonts w:ascii="Times New Roman" w:hAnsi="Times New Roman" w:cs="Times New Roman"/>
        </w:rPr>
        <w:t>sur 300 minutes ne vaut pas une moyenne calculée sur 1 400</w:t>
      </w:r>
      <w:r>
        <w:rPr>
          <w:rFonts w:ascii="Times New Roman" w:hAnsi="Times New Roman" w:cs="Times New Roman"/>
        </w:rPr>
        <w:t xml:space="preserve"> minutes</w:t>
      </w:r>
      <w:r w:rsidRPr="002844B7">
        <w:rPr>
          <w:rFonts w:ascii="Times New Roman" w:hAnsi="Times New Roman" w:cs="Times New Roman"/>
        </w:rPr>
        <w:t>.</w:t>
      </w:r>
    </w:p>
    <w:p w14:paraId="04E48EA9" w14:textId="77777777" w:rsidR="00A01047" w:rsidRPr="00F37F75" w:rsidRDefault="00A01047" w:rsidP="00C615BF">
      <w:pPr>
        <w:pStyle w:val="Titre2"/>
        <w:spacing w:before="260" w:after="140"/>
        <w:jc w:val="both"/>
        <w:rPr>
          <w:rFonts w:ascii="Times New Roman" w:hAnsi="Times New Roman" w:cs="Times New Roman"/>
        </w:rPr>
      </w:pPr>
      <w:r w:rsidRPr="00F37F75">
        <w:rPr>
          <w:rFonts w:ascii="Times New Roman" w:hAnsi="Times New Roman" w:cs="Times New Roman"/>
        </w:rPr>
        <w:t>Données nutritionnelles</w:t>
      </w:r>
    </w:p>
    <w:p w14:paraId="4F4194ED"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Les métadonnées EXIF des photographies ont été extraites par un script dédié : 321 images traitées pour p01, avec un taux de réussite de 100 % pour l'extraction. Elles fournissent la date et l'heure de chaque prise, le nombre de prises par jour et, lorsque le nombre de prises le permet, l'amplitude de la fenêtre alimentaire.</w:t>
      </w:r>
    </w:p>
    <w:p w14:paraId="21FB3665"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L'estimation calorique à partir du contenu des images a été écartée. Fridolfsson et al. (2025) rapportent une erreur absolue moyenne de 35,8 % sur l'énergie pour les meilleurs modèles multimodaux, avec une sous-estimation systématique qui s'aggrave avec la taille des portions. Les pipelines classiques reposent par ailleurs sur un objet de calibration absent ici, et aucune vérité terrain nutritionnelle n'accompagne les images : une telle erreur serait invérifiable.</w:t>
      </w:r>
    </w:p>
    <w:p w14:paraId="3D62828E"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L'apport calorique est donc estimé par bilan énergétique, la dépense mesurée servant d'estimation de l'apport à poids stable, répartie selon la structure des repas déclarés. Cette variable est indicative et n'est pas retenue comme prédicteur.</w:t>
      </w:r>
    </w:p>
    <w:p w14:paraId="6FC9ECA4" w14:textId="00FC7E8A"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Pistes pour une estimation calorique</w:t>
      </w:r>
      <w:r>
        <w:rPr>
          <w:rFonts w:ascii="Times New Roman" w:hAnsi="Times New Roman" w:cs="Times New Roman"/>
        </w:rPr>
        <w:t xml:space="preserve"> : </w:t>
      </w:r>
      <w:r w:rsidRPr="00F37F75">
        <w:rPr>
          <w:rFonts w:ascii="Times New Roman" w:hAnsi="Times New Roman" w:cs="Times New Roman"/>
        </w:rPr>
        <w:t xml:space="preserve"> Avec davantage de temps, </w:t>
      </w:r>
      <w:r>
        <w:rPr>
          <w:rFonts w:ascii="Times New Roman" w:hAnsi="Times New Roman" w:cs="Times New Roman"/>
        </w:rPr>
        <w:t>trois a</w:t>
      </w:r>
      <w:r w:rsidRPr="00F37F75">
        <w:rPr>
          <w:rFonts w:ascii="Times New Roman" w:hAnsi="Times New Roman" w:cs="Times New Roman"/>
        </w:rPr>
        <w:t>pproches seraient envisageables.</w:t>
      </w:r>
    </w:p>
    <w:p w14:paraId="30883F5F" w14:textId="77777777" w:rsidR="00A01047" w:rsidRPr="00F40F92" w:rsidRDefault="00A01047" w:rsidP="00C615BF">
      <w:pPr>
        <w:pStyle w:val="Paragraphedeliste"/>
        <w:numPr>
          <w:ilvl w:val="0"/>
          <w:numId w:val="4"/>
        </w:numPr>
        <w:spacing w:after="140" w:line="276" w:lineRule="auto"/>
        <w:jc w:val="both"/>
        <w:rPr>
          <w:rFonts w:ascii="Times New Roman" w:hAnsi="Times New Roman" w:cs="Times New Roman"/>
        </w:rPr>
      </w:pPr>
      <w:r w:rsidRPr="00F37F75">
        <w:rPr>
          <w:rFonts w:ascii="Times New Roman" w:hAnsi="Times New Roman" w:cs="Times New Roman"/>
        </w:rPr>
        <w:t xml:space="preserve">Un modèle vision-langage interrogé </w:t>
      </w:r>
      <w:r>
        <w:rPr>
          <w:rFonts w:ascii="Times New Roman" w:hAnsi="Times New Roman" w:cs="Times New Roman"/>
        </w:rPr>
        <w:t>via une API, dont l'erreur attendue est de l'ordre de 35 %, acceptable comme outil de dépistage, mais</w:t>
      </w:r>
      <w:r w:rsidRPr="00F37F75">
        <w:rPr>
          <w:rFonts w:ascii="Times New Roman" w:hAnsi="Times New Roman" w:cs="Times New Roman"/>
        </w:rPr>
        <w:t xml:space="preserve"> non comme mesure. Il faudrait alors modifier le protocole de collecte </w:t>
      </w:r>
      <w:r>
        <w:rPr>
          <w:rFonts w:ascii="Times New Roman" w:hAnsi="Times New Roman" w:cs="Times New Roman"/>
        </w:rPr>
        <w:t>afin d’inclure</w:t>
      </w:r>
      <w:r w:rsidRPr="00F37F75">
        <w:rPr>
          <w:rFonts w:ascii="Times New Roman" w:hAnsi="Times New Roman" w:cs="Times New Roman"/>
        </w:rPr>
        <w:t xml:space="preserve"> un objet de référence dans</w:t>
      </w:r>
      <w:r>
        <w:rPr>
          <w:rFonts w:ascii="Times New Roman" w:hAnsi="Times New Roman" w:cs="Times New Roman"/>
        </w:rPr>
        <w:t xml:space="preserve"> </w:t>
      </w:r>
      <w:r w:rsidRPr="00F37F75">
        <w:rPr>
          <w:rFonts w:ascii="Times New Roman" w:hAnsi="Times New Roman" w:cs="Times New Roman"/>
        </w:rPr>
        <w:t>le champ.</w:t>
      </w:r>
    </w:p>
    <w:p w14:paraId="75F3F9A6" w14:textId="64C0859F" w:rsidR="00A01047" w:rsidRPr="00F37F75" w:rsidRDefault="00A01047" w:rsidP="00C615BF">
      <w:pPr>
        <w:pStyle w:val="Paragraphedeliste"/>
        <w:numPr>
          <w:ilvl w:val="0"/>
          <w:numId w:val="4"/>
        </w:numPr>
        <w:spacing w:after="140" w:line="276" w:lineRule="auto"/>
        <w:jc w:val="both"/>
        <w:rPr>
          <w:rFonts w:ascii="Times New Roman" w:hAnsi="Times New Roman" w:cs="Times New Roman"/>
        </w:rPr>
      </w:pPr>
      <w:r w:rsidRPr="00F37F75">
        <w:rPr>
          <w:rFonts w:ascii="Times New Roman" w:hAnsi="Times New Roman" w:cs="Times New Roman"/>
        </w:rPr>
        <w:t xml:space="preserve">Un modèle de classification pré-entraîné sur </w:t>
      </w:r>
      <w:r>
        <w:rPr>
          <w:rFonts w:ascii="Times New Roman" w:hAnsi="Times New Roman" w:cs="Times New Roman"/>
        </w:rPr>
        <w:t>des images d'aliments</w:t>
      </w:r>
      <w:r w:rsidRPr="00F37F75">
        <w:rPr>
          <w:rFonts w:ascii="Times New Roman" w:hAnsi="Times New Roman" w:cs="Times New Roman"/>
        </w:rPr>
        <w:t>,</w:t>
      </w:r>
      <w:r>
        <w:rPr>
          <w:rFonts w:ascii="Times New Roman" w:hAnsi="Times New Roman" w:cs="Times New Roman"/>
        </w:rPr>
        <w:t xml:space="preserve"> </w:t>
      </w:r>
      <w:r w:rsidRPr="00F37F75">
        <w:rPr>
          <w:rFonts w:ascii="Times New Roman" w:hAnsi="Times New Roman" w:cs="Times New Roman"/>
        </w:rPr>
        <w:t>suivi d'une table de correspondance calorique par catégorie. L'erreur porterait</w:t>
      </w:r>
      <w:r>
        <w:rPr>
          <w:rFonts w:ascii="Times New Roman" w:hAnsi="Times New Roman" w:cs="Times New Roman"/>
        </w:rPr>
        <w:t xml:space="preserve"> </w:t>
      </w:r>
      <w:r w:rsidRPr="00F37F75">
        <w:rPr>
          <w:rFonts w:ascii="Times New Roman" w:hAnsi="Times New Roman" w:cs="Times New Roman"/>
        </w:rPr>
        <w:t xml:space="preserve">alors sur l'estimation de </w:t>
      </w:r>
      <w:r>
        <w:rPr>
          <w:rFonts w:ascii="Times New Roman" w:hAnsi="Times New Roman" w:cs="Times New Roman"/>
        </w:rPr>
        <w:t>la part</w:t>
      </w:r>
      <w:r w:rsidRPr="00F37F75">
        <w:rPr>
          <w:rFonts w:ascii="Times New Roman" w:hAnsi="Times New Roman" w:cs="Times New Roman"/>
        </w:rPr>
        <w:t xml:space="preserve"> plutôt que sur la reconnaissance.</w:t>
      </w:r>
      <w:r>
        <w:rPr>
          <w:rFonts w:ascii="Times New Roman" w:hAnsi="Times New Roman" w:cs="Times New Roman"/>
        </w:rPr>
        <w:t xml:space="preserve"> </w:t>
      </w:r>
      <w:r w:rsidRPr="00F37F75">
        <w:rPr>
          <w:rFonts w:ascii="Times New Roman" w:hAnsi="Times New Roman" w:cs="Times New Roman"/>
        </w:rPr>
        <w:t xml:space="preserve">Une approche hybride enfin, que recommande Chotwanvirat et al. (2024) </w:t>
      </w:r>
    </w:p>
    <w:p w14:paraId="38B5915B" w14:textId="2075199F" w:rsidR="00A01047" w:rsidRPr="00F37F75" w:rsidRDefault="00A01047" w:rsidP="00DF6989">
      <w:pPr>
        <w:spacing w:after="140" w:line="276" w:lineRule="auto"/>
        <w:ind w:left="360"/>
        <w:jc w:val="both"/>
        <w:rPr>
          <w:rFonts w:ascii="Times New Roman" w:hAnsi="Times New Roman" w:cs="Times New Roman"/>
        </w:rPr>
      </w:pPr>
      <w:r w:rsidRPr="00DF6989">
        <w:rPr>
          <w:rFonts w:ascii="Times New Roman" w:hAnsi="Times New Roman" w:cs="Times New Roman"/>
        </w:rPr>
        <w:lastRenderedPageBreak/>
        <w:t xml:space="preserve">Combiner l'image avec une saisie contextuelle de l'utilisateur plutôt que </w:t>
      </w:r>
      <w:r w:rsidR="00DF6989">
        <w:rPr>
          <w:rFonts w:ascii="Times New Roman" w:hAnsi="Times New Roman" w:cs="Times New Roman"/>
        </w:rPr>
        <w:t>de s'appuyer</w:t>
      </w:r>
      <w:r w:rsidRPr="00DF6989">
        <w:rPr>
          <w:rFonts w:ascii="Times New Roman" w:hAnsi="Times New Roman" w:cs="Times New Roman"/>
        </w:rPr>
        <w:t xml:space="preserve"> </w:t>
      </w:r>
      <w:r w:rsidR="00DF6989">
        <w:rPr>
          <w:rFonts w:ascii="Times New Roman" w:hAnsi="Times New Roman" w:cs="Times New Roman"/>
        </w:rPr>
        <w:t>uniquement sur l'image</w:t>
      </w:r>
      <w:r w:rsidRPr="00DF6989">
        <w:rPr>
          <w:rFonts w:ascii="Times New Roman" w:hAnsi="Times New Roman" w:cs="Times New Roman"/>
        </w:rPr>
        <w:t>. C'est la logique retenue ici, en croisant les</w:t>
      </w:r>
      <w:r w:rsidR="00DF6989">
        <w:rPr>
          <w:rFonts w:ascii="Times New Roman" w:hAnsi="Times New Roman" w:cs="Times New Roman"/>
        </w:rPr>
        <w:t xml:space="preserve"> p</w:t>
      </w:r>
      <w:r w:rsidRPr="00DF6989">
        <w:rPr>
          <w:rFonts w:ascii="Times New Roman" w:hAnsi="Times New Roman" w:cs="Times New Roman"/>
        </w:rPr>
        <w:t>hotographies et les repas déclarés.</w:t>
      </w:r>
    </w:p>
    <w:p w14:paraId="5A8078D4" w14:textId="6F097352" w:rsidR="002844B7" w:rsidRPr="00DF6989" w:rsidRDefault="00A01047" w:rsidP="00C615BF">
      <w:pPr>
        <w:spacing w:after="140" w:line="276" w:lineRule="auto"/>
        <w:jc w:val="both"/>
        <w:rPr>
          <w:rFonts w:ascii="Times New Roman" w:hAnsi="Times New Roman" w:cs="Times New Roman"/>
          <w:b/>
          <w:bCs/>
        </w:rPr>
      </w:pPr>
      <w:r w:rsidRPr="00DF6989">
        <w:rPr>
          <w:rFonts w:ascii="Times New Roman" w:hAnsi="Times New Roman" w:cs="Times New Roman"/>
          <w:b/>
          <w:bCs/>
        </w:rPr>
        <w:t>Dans tous les cas, une validation supposerait une vérité terrain nutritionnelle absente de ce jeu de données.</w:t>
      </w:r>
    </w:p>
    <w:p w14:paraId="04E6758A" w14:textId="4622567F" w:rsidR="00A01047" w:rsidRDefault="00C615BF" w:rsidP="00C615BF">
      <w:pPr>
        <w:pStyle w:val="Titre1"/>
        <w:jc w:val="both"/>
        <w:rPr>
          <w:color w:val="auto"/>
        </w:rPr>
      </w:pPr>
      <w:r>
        <w:rPr>
          <w:color w:val="auto"/>
        </w:rPr>
        <w:t xml:space="preserve">4) </w:t>
      </w:r>
      <w:r w:rsidR="00A01047" w:rsidRPr="00A01047">
        <w:rPr>
          <w:color w:val="auto"/>
        </w:rPr>
        <w:t xml:space="preserve">Pré-traitement des données </w:t>
      </w:r>
    </w:p>
    <w:p w14:paraId="2E5D230D" w14:textId="77777777" w:rsidR="00C615BF" w:rsidRDefault="00C615BF" w:rsidP="00C615BF">
      <w:pPr>
        <w:pStyle w:val="Titre1"/>
        <w:jc w:val="both"/>
        <w:rPr>
          <w:color w:val="auto"/>
        </w:rPr>
      </w:pPr>
    </w:p>
    <w:p w14:paraId="345C7051" w14:textId="77777777" w:rsidR="00A01047" w:rsidRPr="00A01047" w:rsidRDefault="00A01047" w:rsidP="00C615BF">
      <w:pPr>
        <w:pStyle w:val="Titre2"/>
        <w:jc w:val="both"/>
      </w:pPr>
      <w:r w:rsidRPr="00A01047">
        <w:t>Trois principes ont guidé ce prétraitement</w:t>
      </w:r>
    </w:p>
    <w:p w14:paraId="594DB19C" w14:textId="77777777" w:rsidR="00A01047" w:rsidRPr="00A01047" w:rsidRDefault="00A01047" w:rsidP="00C615BF">
      <w:pPr>
        <w:pStyle w:val="Titre1"/>
        <w:jc w:val="both"/>
        <w:rPr>
          <w:rFonts w:ascii="Times New Roman" w:hAnsi="Times New Roman" w:cs="Times New Roman"/>
          <w:sz w:val="22"/>
          <w:szCs w:val="22"/>
        </w:rPr>
      </w:pPr>
    </w:p>
    <w:p w14:paraId="14A393E1" w14:textId="77777777"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Ne jamais écraser une mesure</w:t>
      </w:r>
      <w:r w:rsidRPr="00A01047">
        <w:rPr>
          <w:rFonts w:ascii="Times New Roman" w:hAnsi="Times New Roman" w:cs="Times New Roman"/>
          <w:u w:val="single"/>
        </w:rPr>
        <w:t>.</w:t>
      </w:r>
      <w:r w:rsidRPr="00A01047">
        <w:rPr>
          <w:rFonts w:ascii="Times New Roman" w:hAnsi="Times New Roman" w:cs="Times New Roman"/>
        </w:rPr>
        <w:t> Toute valeur imputée est conservée dans une colonne distincte, la variable d'origine restant intacte, et une colonne indicatrice indique les lignes concernées. Cela permet de comparer les résultats avec et sans imputation, et garantit que le jeu de données livré reste vérifiable.</w:t>
      </w:r>
    </w:p>
    <w:p w14:paraId="626CC8EC" w14:textId="77777777"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S'aligner sur l'existant avant de décider.</w:t>
      </w:r>
      <w:r w:rsidRPr="00A01047">
        <w:rPr>
          <w:rFonts w:ascii="Times New Roman" w:hAnsi="Times New Roman" w:cs="Times New Roman"/>
        </w:rPr>
        <w:t> Si des règles de traitement des données manquantes sont déjà en vigueur en interne, autant les reprendre que d'en inventer. Mes hypothèses seraient testées contre celles en vigueur avant de trancher.</w:t>
      </w:r>
    </w:p>
    <w:p w14:paraId="2DA880A8" w14:textId="6CA0A121"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Distinguer l'absence de mesure de l'absence d'événement</w:t>
      </w:r>
      <w:r w:rsidRPr="00A01047">
        <w:rPr>
          <w:rFonts w:ascii="Times New Roman" w:hAnsi="Times New Roman" w:cs="Times New Roman"/>
          <w:b/>
          <w:bCs/>
        </w:rPr>
        <w:t> :</w:t>
      </w:r>
      <w:r w:rsidRPr="00A01047">
        <w:rPr>
          <w:rFonts w:ascii="Times New Roman" w:hAnsi="Times New Roman" w:cs="Times New Roman"/>
        </w:rPr>
        <w:t xml:space="preserve"> Un jour sans séance déclaré n'équivaut pas à un jour sans séance. Un questionnaire non rempli laisse l'état inconnu. Ces situations n'appellent pas le même traitement.</w:t>
      </w:r>
    </w:p>
    <w:p w14:paraId="29AEE04B" w14:textId="6CA0A121" w:rsidR="00A01047"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Traitement des valeurs aberrantes</w:t>
      </w:r>
    </w:p>
    <w:p w14:paraId="1B77E18C" w14:textId="68398CF0"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Trois familles d'anomalies ont été identifiées et traitées différemment. Les valeurs générées par le capteur, détectées par le comptage exact des lignes. Les soumissions de </w:t>
      </w:r>
      <w:r w:rsidR="00476C30" w:rsidRPr="00F37F75">
        <w:rPr>
          <w:rFonts w:ascii="Times New Roman" w:hAnsi="Times New Roman" w:cs="Times New Roman"/>
        </w:rPr>
        <w:t>questionnaires</w:t>
      </w:r>
      <w:r w:rsidRPr="00F37F75">
        <w:rPr>
          <w:rFonts w:ascii="Times New Roman" w:hAnsi="Times New Roman" w:cs="Times New Roman"/>
        </w:rPr>
        <w:t xml:space="preserve"> entièrement à zéro, </w:t>
      </w:r>
      <w:r w:rsidR="002844B7">
        <w:rPr>
          <w:rFonts w:ascii="Times New Roman" w:hAnsi="Times New Roman" w:cs="Times New Roman"/>
        </w:rPr>
        <w:t>produisant des moyennes hors échelle,</w:t>
      </w:r>
      <w:r w:rsidRPr="00F37F75">
        <w:rPr>
          <w:rFonts w:ascii="Times New Roman" w:hAnsi="Times New Roman" w:cs="Times New Roman"/>
        </w:rPr>
        <w:t xml:space="preserve"> ont été écartées avant </w:t>
      </w:r>
      <w:r w:rsidR="002844B7">
        <w:rPr>
          <w:rFonts w:ascii="Times New Roman" w:hAnsi="Times New Roman" w:cs="Times New Roman"/>
        </w:rPr>
        <w:t>l’agrégation</w:t>
      </w:r>
      <w:r w:rsidRPr="00F37F75">
        <w:rPr>
          <w:rFonts w:ascii="Times New Roman" w:hAnsi="Times New Roman" w:cs="Times New Roman"/>
        </w:rPr>
        <w:t>. Et six nuits de plus de 700 minutes, conservées comme valeurs extrêmes plausibles après vérification du contexte : leur efficacité de sommeil reste normale et l'activité des jours adjacents est cohérente.</w:t>
      </w:r>
    </w:p>
    <w:p w14:paraId="24519EF8" w14:textId="77777777" w:rsidR="00F40F92" w:rsidRDefault="008F0FDF" w:rsidP="00C615BF">
      <w:pPr>
        <w:spacing w:after="140" w:line="276" w:lineRule="auto"/>
        <w:jc w:val="both"/>
        <w:rPr>
          <w:rFonts w:ascii="Times New Roman" w:hAnsi="Times New Roman" w:cs="Times New Roman"/>
        </w:rPr>
      </w:pPr>
      <w:r w:rsidRPr="002844B7">
        <w:rPr>
          <w:rFonts w:ascii="Times New Roman" w:hAnsi="Times New Roman" w:cs="Times New Roman"/>
          <w:b/>
          <w:bCs/>
        </w:rPr>
        <w:t>Un cas mérite attention :</w:t>
      </w:r>
      <w:r w:rsidRPr="00F37F75">
        <w:rPr>
          <w:rFonts w:ascii="Times New Roman" w:hAnsi="Times New Roman" w:cs="Times New Roman"/>
        </w:rPr>
        <w:t xml:space="preserve"> le readiness de p05 ne prend que deux valeurs, 0 et 5. L'examen de leur répartition mensuelle montre que les zéros se concentrent en novembre et </w:t>
      </w:r>
      <w:r w:rsidR="00F40F92">
        <w:rPr>
          <w:rFonts w:ascii="Times New Roman" w:hAnsi="Times New Roman" w:cs="Times New Roman"/>
        </w:rPr>
        <w:t>en décembre puis disparaissent, alors que leur</w:t>
      </w:r>
      <w:r w:rsidRPr="00F37F75">
        <w:rPr>
          <w:rFonts w:ascii="Times New Roman" w:hAnsi="Times New Roman" w:cs="Times New Roman"/>
        </w:rPr>
        <w:t xml:space="preserve"> période de blessure </w:t>
      </w:r>
      <w:r w:rsidR="00F40F92">
        <w:rPr>
          <w:rFonts w:ascii="Times New Roman" w:hAnsi="Times New Roman" w:cs="Times New Roman"/>
        </w:rPr>
        <w:t>s'étend</w:t>
      </w:r>
      <w:r w:rsidRPr="00F37F75">
        <w:rPr>
          <w:rFonts w:ascii="Times New Roman" w:hAnsi="Times New Roman" w:cs="Times New Roman"/>
        </w:rPr>
        <w:t xml:space="preserve"> de janvier à mars.</w:t>
      </w:r>
    </w:p>
    <w:p w14:paraId="6BFADC89" w14:textId="41AA994C" w:rsidR="008F0FDF" w:rsidRPr="004B4282" w:rsidRDefault="008F0FDF" w:rsidP="00C615BF">
      <w:pPr>
        <w:pStyle w:val="Paragraphedeliste"/>
        <w:numPr>
          <w:ilvl w:val="0"/>
          <w:numId w:val="5"/>
        </w:numPr>
        <w:spacing w:after="140" w:line="276" w:lineRule="auto"/>
        <w:jc w:val="both"/>
        <w:rPr>
          <w:rFonts w:ascii="Times New Roman" w:hAnsi="Times New Roman" w:cs="Times New Roman"/>
        </w:rPr>
      </w:pPr>
      <w:r w:rsidRPr="00F40F92">
        <w:rPr>
          <w:rFonts w:ascii="Times New Roman" w:hAnsi="Times New Roman" w:cs="Times New Roman"/>
        </w:rPr>
        <w:t xml:space="preserve"> Ces zéros correspondent donc à un champ non renseigné</w:t>
      </w:r>
      <w:r w:rsidR="00476C30" w:rsidRPr="00F40F92">
        <w:rPr>
          <w:rFonts w:ascii="Times New Roman" w:hAnsi="Times New Roman" w:cs="Times New Roman"/>
        </w:rPr>
        <w:t xml:space="preserve">, </w:t>
      </w:r>
      <w:r w:rsidR="00F40F92" w:rsidRPr="00F40F92">
        <w:rPr>
          <w:rFonts w:ascii="Times New Roman" w:hAnsi="Times New Roman" w:cs="Times New Roman"/>
        </w:rPr>
        <w:t>qui vaut</w:t>
      </w:r>
      <w:r w:rsidR="00476C30" w:rsidRPr="00F40F92">
        <w:rPr>
          <w:rFonts w:ascii="Times New Roman" w:hAnsi="Times New Roman" w:cs="Times New Roman"/>
        </w:rPr>
        <w:t xml:space="preserve"> zéro par défaut, et</w:t>
      </w:r>
      <w:r w:rsidRPr="00F40F92">
        <w:rPr>
          <w:rFonts w:ascii="Times New Roman" w:hAnsi="Times New Roman" w:cs="Times New Roman"/>
        </w:rPr>
        <w:t xml:space="preserve"> non à un état déclaré. Une valeur formellement valide peut ainsi ne </w:t>
      </w:r>
      <w:r w:rsidR="00F40F92" w:rsidRPr="00F40F92">
        <w:rPr>
          <w:rFonts w:ascii="Times New Roman" w:hAnsi="Times New Roman" w:cs="Times New Roman"/>
        </w:rPr>
        <w:t>mesurer rien</w:t>
      </w:r>
      <w:r w:rsidRPr="00F40F92">
        <w:rPr>
          <w:rFonts w:ascii="Times New Roman" w:hAnsi="Times New Roman" w:cs="Times New Roman"/>
        </w:rPr>
        <w:t>.</w:t>
      </w:r>
    </w:p>
    <w:p w14:paraId="16FCC6FD" w14:textId="450E820C"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Cinq approches </w:t>
      </w:r>
      <w:r w:rsidR="00D04DD6">
        <w:rPr>
          <w:rFonts w:ascii="Times New Roman" w:hAnsi="Times New Roman" w:cs="Times New Roman"/>
        </w:rPr>
        <w:t xml:space="preserve">décrites </w:t>
      </w:r>
      <w:r w:rsidR="00D04DD6" w:rsidRPr="00D04DD6">
        <w:rPr>
          <w:rFonts w:ascii="Times New Roman" w:hAnsi="Times New Roman" w:cs="Times New Roman"/>
          <w:b/>
          <w:bCs/>
        </w:rPr>
        <w:t>dans le tableau 1</w:t>
      </w:r>
      <w:r w:rsidR="00D04DD6">
        <w:rPr>
          <w:rFonts w:ascii="Times New Roman" w:hAnsi="Times New Roman" w:cs="Times New Roman"/>
        </w:rPr>
        <w:t xml:space="preserve"> </w:t>
      </w:r>
      <w:r w:rsidRPr="00F37F75">
        <w:rPr>
          <w:rFonts w:ascii="Times New Roman" w:hAnsi="Times New Roman" w:cs="Times New Roman"/>
        </w:rPr>
        <w:t xml:space="preserve">ont été comparées </w:t>
      </w:r>
      <w:r w:rsidR="00CF44F1" w:rsidRPr="00F37F75">
        <w:rPr>
          <w:rFonts w:ascii="Times New Roman" w:hAnsi="Times New Roman" w:cs="Times New Roman"/>
        </w:rPr>
        <w:t>en termes de</w:t>
      </w:r>
      <w:r w:rsidRPr="00F37F75">
        <w:rPr>
          <w:rFonts w:ascii="Times New Roman" w:hAnsi="Times New Roman" w:cs="Times New Roman"/>
        </w:rPr>
        <w:t xml:space="preserve"> durée de sommeil, de la plus simple à la plus avancée. Le critère retenu est la préservation de l'écart-type : une méthode qui le réduit fortement écrase une variabilité physiologique réelle.</w:t>
      </w:r>
    </w:p>
    <w:p w14:paraId="6D3D4294" w14:textId="6B2E4487" w:rsidR="00D04DD6" w:rsidRDefault="00D04DD6" w:rsidP="00C615BF">
      <w:pPr>
        <w:pStyle w:val="Lgende"/>
        <w:keepNext/>
        <w:jc w:val="both"/>
      </w:pPr>
      <w:r>
        <w:t xml:space="preserve">Tableau </w:t>
      </w:r>
      <w:r>
        <w:fldChar w:fldCharType="begin"/>
      </w:r>
      <w:r>
        <w:instrText xml:space="preserve"> SEQ Tableau \* ARABIC </w:instrText>
      </w:r>
      <w:r>
        <w:fldChar w:fldCharType="separate"/>
      </w:r>
      <w:r w:rsidR="00817545">
        <w:rPr>
          <w:noProof/>
        </w:rPr>
        <w:t>1</w:t>
      </w:r>
      <w:r>
        <w:fldChar w:fldCharType="end"/>
      </w:r>
      <w:r>
        <w:t xml:space="preserve"> Méthodes de remplacement de valeurs aberrantes</w:t>
      </w:r>
    </w:p>
    <w:tbl>
      <w:tblPr>
        <w:tblStyle w:val="Tableausimple2"/>
        <w:tblW w:w="8600" w:type="dxa"/>
        <w:jc w:val="center"/>
        <w:tblLook w:val="0000" w:firstRow="0" w:lastRow="0" w:firstColumn="0" w:lastColumn="0" w:noHBand="0" w:noVBand="0"/>
      </w:tblPr>
      <w:tblGrid>
        <w:gridCol w:w="3200"/>
        <w:gridCol w:w="1600"/>
        <w:gridCol w:w="3800"/>
      </w:tblGrid>
      <w:tr w:rsidR="008F0FDF" w:rsidRPr="00F37F75" w14:paraId="0144DC99"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0A78AF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Approche</w:t>
            </w:r>
          </w:p>
        </w:tc>
        <w:tc>
          <w:tcPr>
            <w:cnfStyle w:val="000001000000" w:firstRow="0" w:lastRow="0" w:firstColumn="0" w:lastColumn="0" w:oddVBand="0" w:evenVBand="1" w:oddHBand="0" w:evenHBand="0" w:firstRowFirstColumn="0" w:firstRowLastColumn="0" w:lastRowFirstColumn="0" w:lastRowLastColumn="0"/>
            <w:tcW w:w="1600" w:type="dxa"/>
          </w:tcPr>
          <w:p w14:paraId="068ACF8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Écart-type</w:t>
            </w:r>
          </w:p>
        </w:tc>
        <w:tc>
          <w:tcPr>
            <w:cnfStyle w:val="000010000000" w:firstRow="0" w:lastRow="0" w:firstColumn="0" w:lastColumn="0" w:oddVBand="1" w:evenVBand="0" w:oddHBand="0" w:evenHBand="0" w:firstRowFirstColumn="0" w:firstRowLastColumn="0" w:lastRowFirstColumn="0" w:lastRowLastColumn="0"/>
            <w:tcW w:w="3800" w:type="dxa"/>
          </w:tcPr>
          <w:p w14:paraId="1648C89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Effet</w:t>
            </w:r>
          </w:p>
        </w:tc>
      </w:tr>
      <w:tr w:rsidR="008F0FDF" w:rsidRPr="00F37F75" w14:paraId="30A946B6"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49CF777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Valeurs observées</w:t>
            </w:r>
          </w:p>
        </w:tc>
        <w:tc>
          <w:tcPr>
            <w:cnfStyle w:val="000001000000" w:firstRow="0" w:lastRow="0" w:firstColumn="0" w:lastColumn="0" w:oddVBand="0" w:evenVBand="1" w:oddHBand="0" w:evenHBand="0" w:firstRowFirstColumn="0" w:firstRowLastColumn="0" w:lastRowFirstColumn="0" w:lastRowLastColumn="0"/>
            <w:tcW w:w="1600" w:type="dxa"/>
          </w:tcPr>
          <w:p w14:paraId="37276F5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92,3</w:t>
            </w:r>
          </w:p>
        </w:tc>
        <w:tc>
          <w:tcPr>
            <w:cnfStyle w:val="000010000000" w:firstRow="0" w:lastRow="0" w:firstColumn="0" w:lastColumn="0" w:oddVBand="1" w:evenVBand="0" w:oddHBand="0" w:evenHBand="0" w:firstRowFirstColumn="0" w:firstRowLastColumn="0" w:lastRowFirstColumn="0" w:lastRowLastColumn="0"/>
            <w:tcW w:w="3800" w:type="dxa"/>
          </w:tcPr>
          <w:p w14:paraId="7EE84B9A" w14:textId="3C8556AC"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Référence</w:t>
            </w:r>
          </w:p>
        </w:tc>
      </w:tr>
      <w:tr w:rsidR="008F0FDF" w:rsidRPr="00F37F75" w14:paraId="39C623AC"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690A80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Suppression des lignes incomplètes</w:t>
            </w:r>
          </w:p>
        </w:tc>
        <w:tc>
          <w:tcPr>
            <w:cnfStyle w:val="000001000000" w:firstRow="0" w:lastRow="0" w:firstColumn="0" w:lastColumn="0" w:oddVBand="0" w:evenVBand="1" w:oddHBand="0" w:evenHBand="0" w:firstRowFirstColumn="0" w:firstRowLastColumn="0" w:lastRowFirstColumn="0" w:lastRowLastColumn="0"/>
            <w:tcW w:w="1600" w:type="dxa"/>
          </w:tcPr>
          <w:p w14:paraId="52DE19B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w:t>
            </w:r>
          </w:p>
        </w:tc>
        <w:tc>
          <w:tcPr>
            <w:cnfStyle w:val="000010000000" w:firstRow="0" w:lastRow="0" w:firstColumn="0" w:lastColumn="0" w:oddVBand="1" w:evenVBand="0" w:oddHBand="0" w:evenHBand="0" w:firstRowFirstColumn="0" w:firstRowLastColumn="0" w:lastRowFirstColumn="0" w:lastRowLastColumn="0"/>
            <w:tcW w:w="3800" w:type="dxa"/>
          </w:tcPr>
          <w:p w14:paraId="2D8DF39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293 lignes sur 456 (−36 %)</w:t>
            </w:r>
          </w:p>
        </w:tc>
      </w:tr>
      <w:tr w:rsidR="008F0FDF" w:rsidRPr="00F37F75" w14:paraId="67B8D5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1534C1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Médiane globale</w:t>
            </w:r>
          </w:p>
        </w:tc>
        <w:tc>
          <w:tcPr>
            <w:cnfStyle w:val="000001000000" w:firstRow="0" w:lastRow="0" w:firstColumn="0" w:lastColumn="0" w:oddVBand="0" w:evenVBand="1" w:oddHBand="0" w:evenHBand="0" w:firstRowFirstColumn="0" w:firstRowLastColumn="0" w:lastRowFirstColumn="0" w:lastRowLastColumn="0"/>
            <w:tcW w:w="1600" w:type="dxa"/>
          </w:tcPr>
          <w:p w14:paraId="739AB03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1067587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−13 %</w:t>
            </w:r>
          </w:p>
        </w:tc>
      </w:tr>
      <w:tr w:rsidR="008F0FDF" w:rsidRPr="00F37F75" w14:paraId="2A6C07F2"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38E059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Médiane par participant</w:t>
            </w:r>
          </w:p>
        </w:tc>
        <w:tc>
          <w:tcPr>
            <w:cnfStyle w:val="000001000000" w:firstRow="0" w:lastRow="0" w:firstColumn="0" w:lastColumn="0" w:oddVBand="0" w:evenVBand="1" w:oddHBand="0" w:evenHBand="0" w:firstRowFirstColumn="0" w:firstRowLastColumn="0" w:lastRowFirstColumn="0" w:lastRowLastColumn="0"/>
            <w:tcW w:w="1600" w:type="dxa"/>
          </w:tcPr>
          <w:p w14:paraId="11C5A9E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6714F79C" w14:textId="315CAA12"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Identique</w:t>
            </w:r>
          </w:p>
        </w:tc>
      </w:tr>
      <w:tr w:rsidR="008F0FDF" w:rsidRPr="00F37F75" w14:paraId="4AAE68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D79947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Propagation 2 jours</w:t>
            </w:r>
          </w:p>
        </w:tc>
        <w:tc>
          <w:tcPr>
            <w:cnfStyle w:val="000001000000" w:firstRow="0" w:lastRow="0" w:firstColumn="0" w:lastColumn="0" w:oddVBand="0" w:evenVBand="1" w:oddHBand="0" w:evenHBand="0" w:firstRowFirstColumn="0" w:firstRowLastColumn="0" w:lastRowFirstColumn="0" w:lastRowLastColumn="0"/>
            <w:tcW w:w="1600" w:type="dxa"/>
          </w:tcPr>
          <w:p w14:paraId="0C40C8D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94,9</w:t>
            </w:r>
          </w:p>
        </w:tc>
        <w:tc>
          <w:tcPr>
            <w:cnfStyle w:val="000010000000" w:firstRow="0" w:lastRow="0" w:firstColumn="0" w:lastColumn="0" w:oddVBand="1" w:evenVBand="0" w:oddHBand="0" w:evenHBand="0" w:firstRowFirstColumn="0" w:firstRowLastColumn="0" w:lastRowFirstColumn="0" w:lastRowLastColumn="0"/>
            <w:tcW w:w="3800" w:type="dxa"/>
          </w:tcPr>
          <w:p w14:paraId="2C65710A" w14:textId="5546156F"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Préservé</w:t>
            </w:r>
            <w:r w:rsidR="008F0FDF" w:rsidRPr="00F37F75">
              <w:rPr>
                <w:rFonts w:ascii="Times New Roman" w:hAnsi="Times New Roman" w:cs="Times New Roman"/>
                <w:sz w:val="20"/>
                <w:szCs w:val="20"/>
              </w:rPr>
              <w:t>, 67 manquants résiduels</w:t>
            </w:r>
          </w:p>
        </w:tc>
      </w:tr>
      <w:tr w:rsidR="008F0FDF" w:rsidRPr="00F37F75" w14:paraId="53E68613"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FE8BE4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Imputation multivariée</w:t>
            </w:r>
          </w:p>
        </w:tc>
        <w:tc>
          <w:tcPr>
            <w:cnfStyle w:val="000001000000" w:firstRow="0" w:lastRow="0" w:firstColumn="0" w:lastColumn="0" w:oddVBand="0" w:evenVBand="1" w:oddHBand="0" w:evenHBand="0" w:firstRowFirstColumn="0" w:firstRowLastColumn="0" w:lastRowFirstColumn="0" w:lastRowLastColumn="0"/>
            <w:tcW w:w="1600" w:type="dxa"/>
          </w:tcPr>
          <w:p w14:paraId="3ED8180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80,3</w:t>
            </w:r>
          </w:p>
        </w:tc>
        <w:tc>
          <w:tcPr>
            <w:cnfStyle w:val="000010000000" w:firstRow="0" w:lastRow="0" w:firstColumn="0" w:lastColumn="0" w:oddVBand="1" w:evenVBand="0" w:oddHBand="0" w:evenHBand="0" w:firstRowFirstColumn="0" w:firstRowLastColumn="0" w:lastRowFirstColumn="0" w:lastRowLastColumn="0"/>
            <w:tcW w:w="3800" w:type="dxa"/>
          </w:tcPr>
          <w:p w14:paraId="031EE93D" w14:textId="551B1049"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Aucun</w:t>
            </w:r>
            <w:r w:rsidR="008F0FDF" w:rsidRPr="00F37F75">
              <w:rPr>
                <w:rFonts w:ascii="Times New Roman" w:hAnsi="Times New Roman" w:cs="Times New Roman"/>
                <w:sz w:val="20"/>
                <w:szCs w:val="20"/>
              </w:rPr>
              <w:t xml:space="preserve"> gain</w:t>
            </w:r>
          </w:p>
        </w:tc>
      </w:tr>
    </w:tbl>
    <w:p w14:paraId="4DB27A98" w14:textId="589FDBDA" w:rsidR="008F0FDF" w:rsidRDefault="008F0FDF" w:rsidP="00C615BF">
      <w:pPr>
        <w:spacing w:after="140"/>
        <w:jc w:val="both"/>
        <w:rPr>
          <w:rFonts w:ascii="Times New Roman" w:hAnsi="Times New Roman" w:cs="Times New Roman"/>
        </w:rPr>
      </w:pPr>
    </w:p>
    <w:p w14:paraId="07C21DB4" w14:textId="3CFA3E42" w:rsidR="00C615BF" w:rsidRDefault="00C615BF" w:rsidP="00C615BF">
      <w:pPr>
        <w:spacing w:after="140"/>
        <w:jc w:val="both"/>
        <w:rPr>
          <w:rFonts w:ascii="Times New Roman" w:hAnsi="Times New Roman" w:cs="Times New Roman"/>
        </w:rPr>
      </w:pPr>
    </w:p>
    <w:p w14:paraId="673348D5" w14:textId="77777777" w:rsidR="00C615BF" w:rsidRPr="00F37F75" w:rsidRDefault="00C615BF" w:rsidP="00C615BF">
      <w:pPr>
        <w:spacing w:after="140"/>
        <w:jc w:val="both"/>
        <w:rPr>
          <w:rFonts w:ascii="Times New Roman" w:hAnsi="Times New Roman" w:cs="Times New Roman"/>
        </w:rPr>
      </w:pPr>
    </w:p>
    <w:p w14:paraId="27A2388B" w14:textId="77777777" w:rsidR="00D04DD6"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Deux constats complémentaires ont orienté la décision</w:t>
      </w:r>
      <w:r w:rsidRPr="00F37F75">
        <w:rPr>
          <w:rFonts w:ascii="Times New Roman" w:hAnsi="Times New Roman" w:cs="Times New Roman"/>
        </w:rPr>
        <w:t>.</w:t>
      </w:r>
    </w:p>
    <w:p w14:paraId="3408CE21" w14:textId="6A1C5087" w:rsidR="00A01047"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D04DD6">
        <w:rPr>
          <w:rFonts w:ascii="Times New Roman" w:hAnsi="Times New Roman" w:cs="Times New Roman"/>
        </w:rPr>
        <w:lastRenderedPageBreak/>
        <w:t xml:space="preserve"> L'autocorrélation à un jour d'intervalle est faible pour l'ensemble des variables candidates : 0,03 pour la durée de sommeil, 0,21 pour la fatigue, 0,26 pour la fréquence cardiaque. La valeur de la veille ne constitue donc pas un prédicteur fiable, y compris sur des trous courts. Et l'interpolation cubique produit des valeurs hors </w:t>
      </w:r>
      <w:r w:rsidR="00CF44F1" w:rsidRPr="00D04DD6">
        <w:rPr>
          <w:rFonts w:ascii="Times New Roman" w:hAnsi="Times New Roman" w:cs="Times New Roman"/>
        </w:rPr>
        <w:t xml:space="preserve">de portée : </w:t>
      </w:r>
      <w:r w:rsidRPr="00D04DD6">
        <w:rPr>
          <w:rFonts w:ascii="Times New Roman" w:hAnsi="Times New Roman" w:cs="Times New Roman"/>
        </w:rPr>
        <w:t xml:space="preserve"> un maximum de 101,4 % pour une efficacité du sommeil bornée à 100 %.</w:t>
      </w:r>
    </w:p>
    <w:p w14:paraId="46C5B5A4" w14:textId="123703BE" w:rsidR="00A01047" w:rsidRDefault="008F0FDF" w:rsidP="00C615BF">
      <w:pPr>
        <w:pStyle w:val="Titre2"/>
        <w:jc w:val="both"/>
      </w:pPr>
      <w:r w:rsidRPr="00F37F75">
        <w:t>Décision retenue</w:t>
      </w:r>
    </w:p>
    <w:p w14:paraId="63974E49" w14:textId="77777777" w:rsidR="00A01047" w:rsidRDefault="00A01047" w:rsidP="00C615BF">
      <w:pPr>
        <w:pStyle w:val="Titre2"/>
        <w:jc w:val="both"/>
      </w:pPr>
    </w:p>
    <w:p w14:paraId="046287C0" w14:textId="21F17296" w:rsidR="00F40F92" w:rsidRDefault="008F0FDF" w:rsidP="00C615BF">
      <w:pPr>
        <w:spacing w:after="140" w:line="276" w:lineRule="auto"/>
        <w:jc w:val="both"/>
        <w:rPr>
          <w:rFonts w:ascii="Times New Roman" w:hAnsi="Times New Roman" w:cs="Times New Roman"/>
        </w:rPr>
      </w:pPr>
      <w:r w:rsidRPr="00F40F92">
        <w:rPr>
          <w:rFonts w:ascii="Times New Roman" w:hAnsi="Times New Roman" w:cs="Times New Roman"/>
          <w:b/>
          <w:bCs/>
        </w:rPr>
        <w:t xml:space="preserve">Le jeu de données livré conserve les valeurs manquantes : </w:t>
      </w:r>
      <w:r w:rsidRPr="00F37F75">
        <w:rPr>
          <w:rFonts w:ascii="Times New Roman" w:hAnsi="Times New Roman" w:cs="Times New Roman"/>
        </w:rPr>
        <w:t>il reflète ce qui a été mesuré et laisse à tout utilisateur ultérieur le choix du traitement.</w:t>
      </w:r>
      <w:r w:rsidR="00F40F92">
        <w:rPr>
          <w:rFonts w:ascii="Times New Roman" w:hAnsi="Times New Roman" w:cs="Times New Roman"/>
        </w:rPr>
        <w:t xml:space="preserve"> </w:t>
      </w:r>
    </w:p>
    <w:p w14:paraId="572E3778" w14:textId="5B4A4D1E" w:rsidR="00A01047"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 L'imputation est réalisée </w:t>
      </w:r>
      <w:r w:rsidR="00CF44F1" w:rsidRPr="00F37F75">
        <w:rPr>
          <w:rFonts w:ascii="Times New Roman" w:hAnsi="Times New Roman" w:cs="Times New Roman"/>
        </w:rPr>
        <w:t>au sein du pipeline de modélisation, en apprentissage fold par fold, ce qui évite toute</w:t>
      </w:r>
      <w:r w:rsidRPr="00F37F75">
        <w:rPr>
          <w:rFonts w:ascii="Times New Roman" w:hAnsi="Times New Roman" w:cs="Times New Roman"/>
        </w:rPr>
        <w:t xml:space="preserve"> fuite d'information vers les données de test.</w:t>
      </w:r>
    </w:p>
    <w:p w14:paraId="0321C116" w14:textId="194103CD" w:rsidR="00C615BF"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5) Feature Engineering</w:t>
      </w:r>
    </w:p>
    <w:p w14:paraId="1DF80A79" w14:textId="77777777" w:rsidR="00C615BF" w:rsidRDefault="00C615BF" w:rsidP="00C615BF">
      <w:pPr>
        <w:pStyle w:val="Titre2"/>
        <w:spacing w:before="260" w:after="140"/>
        <w:jc w:val="both"/>
      </w:pPr>
      <w:r>
        <w:t>Construction des variables</w:t>
      </w:r>
    </w:p>
    <w:p w14:paraId="4FB67A21" w14:textId="1E9441ED" w:rsidR="00C615BF" w:rsidRDefault="00C615BF" w:rsidP="00C615BF">
      <w:pPr>
        <w:spacing w:after="140" w:line="276" w:lineRule="auto"/>
        <w:jc w:val="both"/>
      </w:pPr>
      <w:r>
        <w:t>Les valeurs brutes quotidiennes rendent mal compte de deux phénomènes établis en sciences du sport : l'accumulation de charge sur plusieurs jours, et l'écart d'un individu à sa propre norme</w:t>
      </w:r>
      <w:r w:rsidRPr="00C615BF">
        <w:rPr>
          <w:b/>
          <w:bCs/>
        </w:rPr>
        <w:t>. Nous devons construire de nouvelles variables.</w:t>
      </w:r>
    </w:p>
    <w:p w14:paraId="26782A58" w14:textId="77777777" w:rsidR="00C615BF" w:rsidRDefault="00C615BF" w:rsidP="00C615BF">
      <w:pPr>
        <w:spacing w:after="140" w:line="276" w:lineRule="auto"/>
        <w:jc w:val="both"/>
      </w:pPr>
      <w:r>
        <w:rPr>
          <w:b/>
          <w:bCs/>
        </w:rPr>
        <w:t xml:space="preserve">Charge d'entraînement. </w:t>
      </w:r>
      <w:r>
        <w:t>Le sRPE étant inexploitable (1 à 20 % de complétude), la charge est approchée par le volume d'activité du capteur. Trois indicateurs sont construits.</w:t>
      </w:r>
    </w:p>
    <w:p w14:paraId="6AFD2A16" w14:textId="1F634EFF" w:rsidR="00C615BF" w:rsidRDefault="00C615BF" w:rsidP="00C615BF">
      <w:pPr>
        <w:spacing w:after="140" w:line="276" w:lineRule="auto"/>
        <w:jc w:val="both"/>
      </w:pPr>
      <w:r>
        <w:t>La charge aiguë cumule l'activité des sept derniers jours. La charge chronique cumule celle des vingt-huit derniers jours, ramenée à une base hebdomadaire. L'ACWR est le rapport des deux : il mesure un écart à l'habitude plutôt qu'un volume absolu. Une valeur de 1,5 indique que le participant a réalisé 50 % de plus que sa moyenne récente.</w:t>
      </w:r>
    </w:p>
    <w:p w14:paraId="0D449012" w14:textId="5C472965" w:rsidR="00C615BF" w:rsidRDefault="00C615BF" w:rsidP="00C615BF">
      <w:pPr>
        <w:spacing w:after="140" w:line="276" w:lineRule="auto"/>
        <w:jc w:val="both"/>
      </w:pPr>
      <w:r>
        <w:t>L'ACWR fait toutefois l'objet de critiques méthodologiques : Impellizzeri et al. (2020) concluent qu'aucune preuve ne soutient son usage et identifient un couplage mathématique entre le numérateur et le dénominateur. Il est conservé à titre conventionnel, les charges brutes demeurant les principaux prédicteurs.</w:t>
      </w:r>
    </w:p>
    <w:p w14:paraId="1A57C29B" w14:textId="77777777" w:rsidR="00C615BF" w:rsidRDefault="00C615BF" w:rsidP="00C615BF">
      <w:pPr>
        <w:spacing w:after="140" w:line="276" w:lineRule="auto"/>
        <w:jc w:val="both"/>
      </w:pPr>
      <w:r>
        <w:rPr>
          <w:b/>
          <w:bCs/>
        </w:rPr>
        <w:t xml:space="preserve">Dette de sommeil. </w:t>
      </w:r>
      <w:r>
        <w:t>Une revue de 2021 identifie sept heures ou moins comme le seuil associé à un risque accru, l'association apparaissant lorsque le déficit est maintenu sur au moins quatorze jours (risque 1,7 fois supérieur). La variable cumule donc, sur une fenêtre glissante de quatorze jours, l'écart au seuil de 420 minutes pour les nuits déficitaires.</w:t>
      </w:r>
    </w:p>
    <w:p w14:paraId="096338AD" w14:textId="357E11EF" w:rsidR="00C615BF" w:rsidRDefault="00C615BF" w:rsidP="00C615BF">
      <w:pPr>
        <w:spacing w:after="140" w:line="276" w:lineRule="auto"/>
        <w:jc w:val="both"/>
      </w:pPr>
      <w:r>
        <w:t>Toutes ces variables sont décalées d'un jour : au moment où un score serait produit, les données du jour même ne sont pas disponibles.</w:t>
      </w:r>
    </w:p>
    <w:p w14:paraId="2F52FE71" w14:textId="7201694A" w:rsidR="00C615BF" w:rsidRPr="00F40F92" w:rsidRDefault="00C615BF" w:rsidP="00C615BF">
      <w:pPr>
        <w:pStyle w:val="Titre2"/>
        <w:jc w:val="both"/>
      </w:pPr>
      <w:r>
        <w:t>Construction de l'indice de readiness</w:t>
      </w:r>
    </w:p>
    <w:p w14:paraId="6D07F407" w14:textId="77777777" w:rsidR="00C615BF" w:rsidRDefault="004B4282" w:rsidP="00C615BF">
      <w:pPr>
        <w:spacing w:before="160" w:after="60"/>
        <w:jc w:val="both"/>
      </w:pPr>
      <w:r>
        <w:t>Le questionnaire contient une question directe de readiness sur une échelle de 0 à 10. Son examen montre qu'elle n'est pas exploitable telle quelle : après correction des zéros, l'écart-type est de 1,41 pour p01 mais de 0,30 et 0,48 pour p03 et p05. La variable ne varie que chez un participant sur trois (figure 4).</w:t>
      </w:r>
    </w:p>
    <w:p w14:paraId="1D8925CF" w14:textId="1C07A9C0"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1B69734B" wp14:editId="3778C955">
            <wp:extent cx="5143500" cy="16764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676400"/>
                    </a:xfrm>
                    <a:prstGeom prst="rect">
                      <a:avLst/>
                    </a:prstGeom>
                  </pic:spPr>
                </pic:pic>
              </a:graphicData>
            </a:graphic>
          </wp:inline>
        </w:drawing>
      </w:r>
    </w:p>
    <w:p w14:paraId="317C2A93" w14:textId="5E9DEAA9"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4Distribution du readiness déclaré. p03 répond 5 dans 74 cas sur 78 ; p05 alterne entre 0 et 5 sans valeur intermédiaire. Seul p01 utilise l'échelle.</w:t>
      </w:r>
    </w:p>
    <w:p w14:paraId="0E61DEBF" w14:textId="2FCB0D8A" w:rsidR="002844B7" w:rsidRDefault="004B4282" w:rsidP="00C615BF">
      <w:pPr>
        <w:spacing w:after="140" w:line="276" w:lineRule="auto"/>
        <w:jc w:val="both"/>
        <w:rPr>
          <w:rFonts w:ascii="Times New Roman" w:hAnsi="Times New Roman" w:cs="Times New Roman"/>
        </w:rPr>
      </w:pPr>
      <w:r>
        <w:t>Un indice composite a donc été construit à partir des dimensions du questionnaire, selon l'approche de Hooper et Mackinnon. La sélection s'appuie sur l'association de chaque dimension avec le readiness déclaré chez p01.</w:t>
      </w:r>
    </w:p>
    <w:p w14:paraId="72CF536B" w14:textId="77777777" w:rsidR="002844B7" w:rsidRPr="00F37F75" w:rsidRDefault="002844B7" w:rsidP="00C615BF">
      <w:pPr>
        <w:spacing w:after="140" w:line="276" w:lineRule="auto"/>
        <w:jc w:val="both"/>
        <w:rPr>
          <w:rFonts w:ascii="Times New Roman" w:hAnsi="Times New Roman" w:cs="Times New Roman"/>
        </w:rPr>
      </w:pPr>
    </w:p>
    <w:p w14:paraId="198A18C6" w14:textId="3532B77C" w:rsidR="00D04DD6" w:rsidRDefault="00D04DD6" w:rsidP="00C615BF">
      <w:pPr>
        <w:pStyle w:val="Lgende"/>
        <w:keepNext/>
        <w:jc w:val="both"/>
      </w:pPr>
      <w:r>
        <w:t xml:space="preserve">Tableau </w:t>
      </w:r>
      <w:r>
        <w:fldChar w:fldCharType="begin"/>
      </w:r>
      <w:r>
        <w:instrText xml:space="preserve"> SEQ Tableau \* ARABIC </w:instrText>
      </w:r>
      <w:r>
        <w:fldChar w:fldCharType="separate"/>
      </w:r>
      <w:r w:rsidR="00817545">
        <w:rPr>
          <w:noProof/>
        </w:rPr>
        <w:t>2</w:t>
      </w:r>
      <w:r>
        <w:fldChar w:fldCharType="end"/>
      </w:r>
      <w:r>
        <w:t>. Association de chaque dimension du questionnaire avec le readiness déclaré chez p01, seul participant pour lequel cette variable présente une variabilité suffisante. Corrélation de Spearman.</w:t>
      </w:r>
    </w:p>
    <w:tbl>
      <w:tblPr>
        <w:tblStyle w:val="Grilledutableau"/>
        <w:tblW w:w="7600" w:type="dxa"/>
        <w:jc w:val="center"/>
        <w:tblLook w:val="0000" w:firstRow="0" w:lastRow="0" w:firstColumn="0" w:lastColumn="0" w:noHBand="0" w:noVBand="0"/>
      </w:tblPr>
      <w:tblGrid>
        <w:gridCol w:w="2800"/>
        <w:gridCol w:w="3000"/>
        <w:gridCol w:w="1800"/>
      </w:tblGrid>
      <w:tr w:rsidR="008F0FDF" w:rsidRPr="00F37F75" w14:paraId="014AB91F" w14:textId="77777777" w:rsidTr="00F40F92">
        <w:trPr>
          <w:jc w:val="center"/>
        </w:trPr>
        <w:tc>
          <w:tcPr>
            <w:tcW w:w="2800" w:type="dxa"/>
          </w:tcPr>
          <w:p w14:paraId="7F75F56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Dimension</w:t>
            </w:r>
          </w:p>
        </w:tc>
        <w:tc>
          <w:tcPr>
            <w:tcW w:w="3000" w:type="dxa"/>
          </w:tcPr>
          <w:p w14:paraId="6B53F66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Corrélation de Spearman</w:t>
            </w:r>
          </w:p>
        </w:tc>
        <w:tc>
          <w:tcPr>
            <w:tcW w:w="1800" w:type="dxa"/>
          </w:tcPr>
          <w:p w14:paraId="0F21085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Retenue</w:t>
            </w:r>
          </w:p>
        </w:tc>
      </w:tr>
      <w:tr w:rsidR="008F0FDF" w:rsidRPr="00F37F75" w14:paraId="58540F55" w14:textId="77777777" w:rsidTr="00F40F92">
        <w:trPr>
          <w:jc w:val="center"/>
        </w:trPr>
        <w:tc>
          <w:tcPr>
            <w:tcW w:w="2800" w:type="dxa"/>
          </w:tcPr>
          <w:p w14:paraId="2AAC8BD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Courbatures</w:t>
            </w:r>
          </w:p>
        </w:tc>
        <w:tc>
          <w:tcPr>
            <w:tcW w:w="3000" w:type="dxa"/>
          </w:tcPr>
          <w:p w14:paraId="387E809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0,61</w:t>
            </w:r>
          </w:p>
        </w:tc>
        <w:tc>
          <w:tcPr>
            <w:tcW w:w="1800" w:type="dxa"/>
          </w:tcPr>
          <w:p w14:paraId="6817138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4ECDF049" w14:textId="77777777" w:rsidTr="00F40F92">
        <w:trPr>
          <w:jc w:val="center"/>
        </w:trPr>
        <w:tc>
          <w:tcPr>
            <w:tcW w:w="2800" w:type="dxa"/>
          </w:tcPr>
          <w:p w14:paraId="2BDD170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Fatigue</w:t>
            </w:r>
          </w:p>
        </w:tc>
        <w:tc>
          <w:tcPr>
            <w:tcW w:w="3000" w:type="dxa"/>
          </w:tcPr>
          <w:p w14:paraId="5BCA527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0,60</w:t>
            </w:r>
          </w:p>
        </w:tc>
        <w:tc>
          <w:tcPr>
            <w:tcW w:w="1800" w:type="dxa"/>
          </w:tcPr>
          <w:p w14:paraId="7BCBA6E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34909E4B" w14:textId="77777777" w:rsidTr="00F40F92">
        <w:trPr>
          <w:jc w:val="center"/>
        </w:trPr>
        <w:tc>
          <w:tcPr>
            <w:tcW w:w="2800" w:type="dxa"/>
          </w:tcPr>
          <w:p w14:paraId="4D8805B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Qualité du sommeil</w:t>
            </w:r>
          </w:p>
        </w:tc>
        <w:tc>
          <w:tcPr>
            <w:tcW w:w="3000" w:type="dxa"/>
          </w:tcPr>
          <w:p w14:paraId="7651596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0,27</w:t>
            </w:r>
          </w:p>
        </w:tc>
        <w:tc>
          <w:tcPr>
            <w:tcW w:w="1800" w:type="dxa"/>
          </w:tcPr>
          <w:p w14:paraId="29E0EA7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2E499EC9" w14:textId="77777777" w:rsidTr="00F40F92">
        <w:trPr>
          <w:jc w:val="center"/>
        </w:trPr>
        <w:tc>
          <w:tcPr>
            <w:tcW w:w="2800" w:type="dxa"/>
          </w:tcPr>
          <w:p w14:paraId="2B1577C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Stress</w:t>
            </w:r>
          </w:p>
        </w:tc>
        <w:tc>
          <w:tcPr>
            <w:tcW w:w="3000" w:type="dxa"/>
          </w:tcPr>
          <w:p w14:paraId="71A06FD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w:t>
            </w:r>
          </w:p>
        </w:tc>
        <w:tc>
          <w:tcPr>
            <w:tcW w:w="1800" w:type="dxa"/>
          </w:tcPr>
          <w:p w14:paraId="32EFA2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non</w:t>
            </w:r>
          </w:p>
        </w:tc>
      </w:tr>
      <w:tr w:rsidR="008F0FDF" w:rsidRPr="00F37F75" w14:paraId="5135F368" w14:textId="77777777" w:rsidTr="00F40F92">
        <w:trPr>
          <w:jc w:val="center"/>
        </w:trPr>
        <w:tc>
          <w:tcPr>
            <w:tcW w:w="2800" w:type="dxa"/>
          </w:tcPr>
          <w:p w14:paraId="595D4C3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Humeur</w:t>
            </w:r>
          </w:p>
        </w:tc>
        <w:tc>
          <w:tcPr>
            <w:tcW w:w="3000" w:type="dxa"/>
          </w:tcPr>
          <w:p w14:paraId="6B412FC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0,01</w:t>
            </w:r>
          </w:p>
        </w:tc>
        <w:tc>
          <w:tcPr>
            <w:tcW w:w="1800" w:type="dxa"/>
          </w:tcPr>
          <w:p w14:paraId="3ED374D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non</w:t>
            </w:r>
          </w:p>
        </w:tc>
      </w:tr>
    </w:tbl>
    <w:p w14:paraId="1DC7C96E" w14:textId="77777777" w:rsidR="008F0FDF" w:rsidRPr="00F37F75" w:rsidRDefault="008F0FDF" w:rsidP="00C615BF">
      <w:pPr>
        <w:spacing w:after="140"/>
        <w:jc w:val="both"/>
        <w:rPr>
          <w:rFonts w:ascii="Times New Roman" w:hAnsi="Times New Roman" w:cs="Times New Roman"/>
        </w:rPr>
      </w:pPr>
    </w:p>
    <w:p w14:paraId="421305E4" w14:textId="110684DB" w:rsidR="004B4282" w:rsidRPr="004B4282" w:rsidRDefault="004B4282" w:rsidP="00C615BF">
      <w:pPr>
        <w:pStyle w:val="Titre2"/>
        <w:jc w:val="both"/>
        <w:rPr>
          <w:rFonts w:ascii="Times New Roman" w:hAnsi="Times New Roman" w:cs="Times New Roman"/>
          <w:b w:val="0"/>
          <w:bCs w:val="0"/>
          <w:color w:val="auto"/>
          <w:sz w:val="22"/>
          <w:szCs w:val="22"/>
        </w:rPr>
      </w:pPr>
      <w:r w:rsidRPr="004B4282">
        <w:rPr>
          <w:rFonts w:ascii="Times New Roman" w:hAnsi="Times New Roman" w:cs="Times New Roman"/>
          <w:b w:val="0"/>
          <w:bCs w:val="0"/>
          <w:color w:val="auto"/>
          <w:sz w:val="22"/>
          <w:szCs w:val="22"/>
        </w:rPr>
        <w:t>Cette analyse a révélé un point non explicité dans la documentation : pour la</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fatigue et les courbatures, une valeur élevée correspond à un meilleur état,</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l'échelle mesurant l'absence de symptômes. Une première version de l'indice,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construite en inversant ces dimensions, présentait une corrélation de −0,56 avec</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le readiness déclaré ; ce signe négatif a conduit à vérifier la direction réelle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de l'échelle. Saw et al. (2016) soulignent que la direction de ces échelles varie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selon les études.</w:t>
      </w:r>
    </w:p>
    <w:p w14:paraId="6ED5E39A" w14:textId="77777777" w:rsidR="004B4282" w:rsidRPr="004B4282" w:rsidRDefault="004B4282" w:rsidP="00C615BF">
      <w:pPr>
        <w:pStyle w:val="Titre2"/>
        <w:jc w:val="both"/>
        <w:rPr>
          <w:rFonts w:ascii="Times New Roman" w:hAnsi="Times New Roman" w:cs="Times New Roman"/>
          <w:b w:val="0"/>
          <w:bCs w:val="0"/>
          <w:color w:val="auto"/>
          <w:sz w:val="22"/>
          <w:szCs w:val="22"/>
        </w:rPr>
      </w:pPr>
    </w:p>
    <w:p w14:paraId="099C06F1" w14:textId="75D9D5D9" w:rsidR="004B4282" w:rsidRPr="004B4282" w:rsidRDefault="004B4282" w:rsidP="00C615BF">
      <w:pPr>
        <w:pStyle w:val="Titre2"/>
        <w:jc w:val="both"/>
        <w:rPr>
          <w:rFonts w:ascii="Times New Roman" w:hAnsi="Times New Roman" w:cs="Times New Roman"/>
          <w:b w:val="0"/>
          <w:bCs w:val="0"/>
          <w:color w:val="auto"/>
          <w:sz w:val="22"/>
          <w:szCs w:val="22"/>
        </w:rPr>
      </w:pPr>
      <w:r w:rsidRPr="004B4282">
        <w:rPr>
          <w:rFonts w:ascii="Times New Roman" w:hAnsi="Times New Roman" w:cs="Times New Roman"/>
          <w:b w:val="0"/>
          <w:bCs w:val="0"/>
          <w:color w:val="auto"/>
          <w:sz w:val="22"/>
          <w:szCs w:val="22"/>
        </w:rPr>
        <w:t>L'indice retenu est la moyenne des trois dimensions, ramenée sur 0-100. Il</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corrèle à 0,66 avec la question directe chez p01, sans l'utiliser, et peut donc</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être appliqué aux trois participants. Le gain est net : 134 jours renseignés chez</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p05 contre 77, et un écart-type de 7,1 contre 0,48.</w:t>
      </w:r>
    </w:p>
    <w:p w14:paraId="41C2F4E9" w14:textId="77777777" w:rsidR="004B4282" w:rsidRPr="004B4282" w:rsidRDefault="004B4282" w:rsidP="00C615BF">
      <w:pPr>
        <w:pStyle w:val="Titre2"/>
        <w:jc w:val="both"/>
        <w:rPr>
          <w:rFonts w:ascii="Times New Roman" w:hAnsi="Times New Roman" w:cs="Times New Roman"/>
          <w:b w:val="0"/>
          <w:bCs w:val="0"/>
          <w:color w:val="auto"/>
          <w:sz w:val="22"/>
          <w:szCs w:val="22"/>
        </w:rPr>
      </w:pPr>
    </w:p>
    <w:p w14:paraId="385DEB7C" w14:textId="21C74384" w:rsidR="004B4282" w:rsidRDefault="004B4282" w:rsidP="00C615BF">
      <w:pPr>
        <w:pStyle w:val="Titre2"/>
        <w:jc w:val="both"/>
        <w:rPr>
          <w:rFonts w:ascii="Times New Roman" w:hAnsi="Times New Roman" w:cs="Times New Roman"/>
          <w:b w:val="0"/>
          <w:bCs w:val="0"/>
          <w:color w:val="auto"/>
          <w:sz w:val="22"/>
          <w:szCs w:val="22"/>
        </w:rPr>
      </w:pPr>
      <w:r>
        <w:rPr>
          <w:rFonts w:ascii="Times New Roman" w:hAnsi="Times New Roman" w:cs="Times New Roman"/>
          <w:b w:val="0"/>
          <w:bCs w:val="0"/>
          <w:color w:val="auto"/>
          <w:sz w:val="22"/>
          <w:szCs w:val="22"/>
        </w:rPr>
        <w:t xml:space="preserve">Cela est confirmé par la littérature : </w:t>
      </w:r>
      <w:r w:rsidRPr="004B4282">
        <w:rPr>
          <w:rFonts w:ascii="Times New Roman" w:hAnsi="Times New Roman" w:cs="Times New Roman"/>
          <w:b w:val="0"/>
          <w:bCs w:val="0"/>
          <w:color w:val="auto"/>
          <w:sz w:val="22"/>
          <w:szCs w:val="22"/>
        </w:rPr>
        <w:t>Sansone et al. (2023) relèvent que 11</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des 15 études de leur revue utilisaient des mesures auto-rapportées non validées.</w:t>
      </w:r>
    </w:p>
    <w:p w14:paraId="0C5CE12B" w14:textId="681B0E11" w:rsidR="004B4282" w:rsidRPr="00C615BF"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 xml:space="preserve">6) </w:t>
      </w:r>
      <w:r w:rsidR="004B4282" w:rsidRPr="00C615BF">
        <w:rPr>
          <w:rFonts w:ascii="Times New Roman" w:hAnsi="Times New Roman" w:cs="Times New Roman"/>
          <w:color w:val="auto"/>
        </w:rPr>
        <w:t>Modélisation</w:t>
      </w:r>
    </w:p>
    <w:p w14:paraId="7797918E" w14:textId="7475F27F" w:rsidR="004B4282" w:rsidRPr="004B4282" w:rsidRDefault="004B4282" w:rsidP="00C615BF">
      <w:pPr>
        <w:pStyle w:val="Titre2"/>
        <w:jc w:val="both"/>
      </w:pPr>
      <w:r>
        <w:t>Analyse bivariée</w:t>
      </w:r>
    </w:p>
    <w:p w14:paraId="4D3E5155" w14:textId="219DF94F" w:rsidR="004B4282" w:rsidRDefault="004B4282" w:rsidP="00C615BF">
      <w:pPr>
        <w:jc w:val="both"/>
        <w:rPr>
          <w:rFonts w:ascii="Times New Roman" w:hAnsi="Times New Roman" w:cs="Times New Roman"/>
        </w:rPr>
      </w:pPr>
      <w:r w:rsidRPr="004B4282">
        <w:rPr>
          <w:rFonts w:ascii="Times New Roman" w:hAnsi="Times New Roman" w:cs="Times New Roman"/>
        </w:rPr>
        <w:t>Avant de modéliser, il faut savoir si les prédicteurs sont associés à la cible,</w:t>
      </w:r>
      <w:r>
        <w:rPr>
          <w:rFonts w:ascii="Times New Roman" w:hAnsi="Times New Roman" w:cs="Times New Roman"/>
        </w:rPr>
        <w:t xml:space="preserve"> </w:t>
      </w:r>
      <w:r w:rsidRPr="004B4282">
        <w:rPr>
          <w:rFonts w:ascii="Times New Roman" w:hAnsi="Times New Roman" w:cs="Times New Roman"/>
        </w:rPr>
        <w:t xml:space="preserve">et si cette association est la même chez tous les participants. </w:t>
      </w:r>
    </w:p>
    <w:p w14:paraId="447211E8" w14:textId="77777777" w:rsidR="004B4282" w:rsidRPr="004B4282" w:rsidRDefault="004B4282" w:rsidP="00C615BF">
      <w:pPr>
        <w:jc w:val="both"/>
        <w:rPr>
          <w:rFonts w:ascii="Times New Roman" w:hAnsi="Times New Roman" w:cs="Times New Roman"/>
        </w:rPr>
      </w:pPr>
    </w:p>
    <w:p w14:paraId="2C407011" w14:textId="0F3F4BF1" w:rsidR="004B4282" w:rsidRPr="004B4282" w:rsidRDefault="004B4282" w:rsidP="00C615BF">
      <w:pPr>
        <w:jc w:val="both"/>
        <w:rPr>
          <w:rFonts w:ascii="Times New Roman" w:hAnsi="Times New Roman" w:cs="Times New Roman"/>
        </w:rPr>
      </w:pPr>
      <w:r w:rsidRPr="004B4282">
        <w:rPr>
          <w:rFonts w:ascii="Times New Roman" w:hAnsi="Times New Roman" w:cs="Times New Roman"/>
        </w:rPr>
        <w:t xml:space="preserve">L'association entre chaque prédicteur et l'indice est donc </w:t>
      </w:r>
      <w:r w:rsidRPr="00F026B4">
        <w:rPr>
          <w:rFonts w:ascii="Times New Roman" w:hAnsi="Times New Roman" w:cs="Times New Roman"/>
          <w:b/>
          <w:bCs/>
        </w:rPr>
        <w:t>mesurée par la corrélation de Spearman</w:t>
      </w:r>
      <w:r w:rsidRPr="004B4282">
        <w:rPr>
          <w:rFonts w:ascii="Times New Roman" w:hAnsi="Times New Roman" w:cs="Times New Roman"/>
        </w:rPr>
        <w:t xml:space="preserve">, participant par participant. Une corrélation calculée sur les trois mélangés capterait surtout les différences de niveau entre les individus. Le résultat est net : pour six variables sur dix, le signe s'inverse selon le participant. Ce qui est associé à un meilleur état chez l'un l'est à un moins bon chez l'autre. Seules la charge aiguë et l'ACWR restent négatives partout, ce qui est cohérent avec une dégradation de l'état perçu </w:t>
      </w:r>
      <w:r>
        <w:rPr>
          <w:rFonts w:ascii="Times New Roman" w:hAnsi="Times New Roman" w:cs="Times New Roman"/>
        </w:rPr>
        <w:t>à</w:t>
      </w:r>
      <w:r w:rsidRPr="004B4282">
        <w:rPr>
          <w:rFonts w:ascii="Times New Roman" w:hAnsi="Times New Roman" w:cs="Times New Roman"/>
        </w:rPr>
        <w:t xml:space="preserve"> charge élevée.</w:t>
      </w:r>
    </w:p>
    <w:p w14:paraId="3F181737" w14:textId="77777777" w:rsidR="004B4282" w:rsidRPr="004B4282" w:rsidRDefault="004B4282" w:rsidP="00C615BF">
      <w:pPr>
        <w:jc w:val="both"/>
        <w:rPr>
          <w:rFonts w:ascii="Times New Roman" w:hAnsi="Times New Roman" w:cs="Times New Roman"/>
        </w:rPr>
      </w:pPr>
    </w:p>
    <w:p w14:paraId="43F23A8F" w14:textId="037F052A" w:rsidR="004B4282" w:rsidRPr="004B4282" w:rsidRDefault="004B4282" w:rsidP="00C615BF">
      <w:pPr>
        <w:jc w:val="both"/>
        <w:rPr>
          <w:rFonts w:ascii="Times New Roman" w:hAnsi="Times New Roman" w:cs="Times New Roman"/>
        </w:rPr>
      </w:pPr>
      <w:r w:rsidRPr="004B4282">
        <w:rPr>
          <w:rFonts w:ascii="Times New Roman" w:hAnsi="Times New Roman" w:cs="Times New Roman"/>
        </w:rPr>
        <w:t xml:space="preserve">Aucune relation n'étant commune aux trois sujets, un modèle entraîné sur </w:t>
      </w:r>
      <w:r>
        <w:rPr>
          <w:rFonts w:ascii="Times New Roman" w:hAnsi="Times New Roman" w:cs="Times New Roman"/>
        </w:rPr>
        <w:t>deux d'entre</w:t>
      </w:r>
      <w:r w:rsidRPr="004B4282">
        <w:rPr>
          <w:rFonts w:ascii="Times New Roman" w:hAnsi="Times New Roman" w:cs="Times New Roman"/>
        </w:rPr>
        <w:t xml:space="preserve"> eux appliquera au troisième des associations qui ne s'y vérifient pas.</w:t>
      </w:r>
    </w:p>
    <w:p w14:paraId="14B263B9"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lastRenderedPageBreak/>
        <w:t>Protocole de validation</w:t>
      </w:r>
    </w:p>
    <w:p w14:paraId="1AA8748B" w14:textId="1FCF15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leave-one-participant-out </w:t>
      </w:r>
      <w:r w:rsidR="004B4282">
        <w:rPr>
          <w:rFonts w:ascii="Times New Roman" w:hAnsi="Times New Roman" w:cs="Times New Roman"/>
        </w:rPr>
        <w:t xml:space="preserve">(LOPO) </w:t>
      </w:r>
      <w:r w:rsidRPr="00F37F75">
        <w:rPr>
          <w:rFonts w:ascii="Times New Roman" w:hAnsi="Times New Roman" w:cs="Times New Roman"/>
        </w:rPr>
        <w:t xml:space="preserve">est retenu car les observations ne sont pas indépendantes : les 152 jours d'un même participant partagent sa physiologie et son niveau de base. Un découpage aléatoire permettrait au modèle de reconnaître l'individu plutôt que d'apprendre une relation, </w:t>
      </w:r>
      <w:r w:rsidR="00CF44F1" w:rsidRPr="00F37F75">
        <w:rPr>
          <w:rFonts w:ascii="Times New Roman" w:hAnsi="Times New Roman" w:cs="Times New Roman"/>
        </w:rPr>
        <w:t xml:space="preserve">ce qui </w:t>
      </w:r>
      <w:r w:rsidR="00F40F92">
        <w:rPr>
          <w:rFonts w:ascii="Times New Roman" w:hAnsi="Times New Roman" w:cs="Times New Roman"/>
        </w:rPr>
        <w:t>surestimerait</w:t>
      </w:r>
      <w:r w:rsidR="00CF44F1" w:rsidRPr="00F37F75">
        <w:rPr>
          <w:rFonts w:ascii="Times New Roman" w:hAnsi="Times New Roman" w:cs="Times New Roman"/>
        </w:rPr>
        <w:t xml:space="preserve"> la performance annoncée</w:t>
      </w:r>
      <w:r w:rsidRPr="00F37F75">
        <w:rPr>
          <w:rFonts w:ascii="Times New Roman" w:hAnsi="Times New Roman" w:cs="Times New Roman"/>
        </w:rPr>
        <w:t>.</w:t>
      </w:r>
    </w:p>
    <w:p w14:paraId="4B8BC526" w14:textId="7EA3841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Avec trois participants, ce protocole revient à entraîner sur deux sujets et </w:t>
      </w:r>
      <w:r w:rsidR="00CF44F1" w:rsidRPr="00F37F75">
        <w:rPr>
          <w:rFonts w:ascii="Times New Roman" w:hAnsi="Times New Roman" w:cs="Times New Roman"/>
        </w:rPr>
        <w:t xml:space="preserve">à </w:t>
      </w:r>
      <w:r w:rsidRPr="00F37F75">
        <w:rPr>
          <w:rFonts w:ascii="Times New Roman" w:hAnsi="Times New Roman" w:cs="Times New Roman"/>
        </w:rPr>
        <w:t xml:space="preserve">tester sur le troisième. C'est exigeant, et c'est ce qu'on attend d'un système destiné à de nouveaux </w:t>
      </w:r>
      <w:r w:rsidR="00F40F92" w:rsidRPr="00F37F75">
        <w:rPr>
          <w:rFonts w:ascii="Times New Roman" w:hAnsi="Times New Roman" w:cs="Times New Roman"/>
        </w:rPr>
        <w:t>athlètes, mais</w:t>
      </w:r>
      <w:r w:rsidRPr="00F37F75">
        <w:rPr>
          <w:rFonts w:ascii="Times New Roman" w:hAnsi="Times New Roman" w:cs="Times New Roman"/>
        </w:rPr>
        <w:t xml:space="preserve"> trois folds ne permettent aucune conclusion statistique.</w:t>
      </w:r>
    </w:p>
    <w:p w14:paraId="178DD539" w14:textId="1F22A15F"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Une limite supplémentaire tient à l'hétérogénéité des folds : p01 dispose d'une couverture quasi complète, p03 </w:t>
      </w:r>
      <w:r w:rsidR="00CF44F1" w:rsidRPr="00F37F75">
        <w:rPr>
          <w:rFonts w:ascii="Times New Roman" w:hAnsi="Times New Roman" w:cs="Times New Roman"/>
        </w:rPr>
        <w:t>n'a aucune donnée cardiaque et ne dispose que</w:t>
      </w:r>
      <w:r w:rsidRPr="00F37F75">
        <w:rPr>
          <w:rFonts w:ascii="Times New Roman" w:hAnsi="Times New Roman" w:cs="Times New Roman"/>
        </w:rPr>
        <w:t xml:space="preserve"> de la moitié de son questionnaire. Les trois folds n'apportent donc pas la même information, ce qui rend leur moyenne peu interprétable. Le protocole reste néanmoins préférable à un découpage aléatoire, qui permettrait au modèle de reconnaître l'individu et </w:t>
      </w:r>
      <w:r w:rsidR="00CF44F1" w:rsidRPr="00F37F75">
        <w:rPr>
          <w:rFonts w:ascii="Times New Roman" w:hAnsi="Times New Roman" w:cs="Times New Roman"/>
        </w:rPr>
        <w:t>de produire</w:t>
      </w:r>
      <w:r w:rsidRPr="00F37F75">
        <w:rPr>
          <w:rFonts w:ascii="Times New Roman" w:hAnsi="Times New Roman" w:cs="Times New Roman"/>
        </w:rPr>
        <w:t xml:space="preserve"> un chiffre flatteur mais faux.</w:t>
      </w:r>
    </w:p>
    <w:p w14:paraId="2CA763A4"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Choix des modèles et des métriques</w:t>
      </w:r>
    </w:p>
    <w:p w14:paraId="06478FF8" w14:textId="4C7D5E53"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Deux familles sont comparées pour chaque cible. Un modèle linéaire régularisé</w:t>
      </w:r>
      <w:r w:rsidR="00D04DD6">
        <w:rPr>
          <w:rFonts w:ascii="Times New Roman" w:hAnsi="Times New Roman" w:cs="Times New Roman"/>
        </w:rPr>
        <w:t> :</w:t>
      </w:r>
      <w:r w:rsidRPr="00F37F75">
        <w:rPr>
          <w:rFonts w:ascii="Times New Roman" w:hAnsi="Times New Roman" w:cs="Times New Roman"/>
        </w:rPr>
        <w:t xml:space="preserve"> Ridge pour la régression, régression logistique pour la classification</w:t>
      </w:r>
      <w:r w:rsidR="00D04DD6">
        <w:rPr>
          <w:rFonts w:ascii="Times New Roman" w:hAnsi="Times New Roman" w:cs="Times New Roman"/>
        </w:rPr>
        <w:t> :</w:t>
      </w:r>
      <w:r w:rsidRPr="00F37F75">
        <w:rPr>
          <w:rFonts w:ascii="Times New Roman" w:hAnsi="Times New Roman" w:cs="Times New Roman"/>
        </w:rPr>
        <w:t xml:space="preserve"> sert de référence : peu de paramètres, pas de surapprentissage sur de petits effectifs, coefficients interprétables. Une forêt aléatoire est ajoutée </w:t>
      </w:r>
      <w:r w:rsidR="00D04DD6">
        <w:rPr>
          <w:rFonts w:ascii="Times New Roman" w:hAnsi="Times New Roman" w:cs="Times New Roman"/>
        </w:rPr>
        <w:t>afin de</w:t>
      </w:r>
      <w:r w:rsidRPr="00F37F75">
        <w:rPr>
          <w:rFonts w:ascii="Times New Roman" w:hAnsi="Times New Roman" w:cs="Times New Roman"/>
        </w:rPr>
        <w:t xml:space="preserve"> capter d'éventuelles relations non linéaires.Les paramètres sont fixés a priori plutôt qu'optimisés : trois folds ne permettent pas </w:t>
      </w:r>
      <w:r w:rsidR="00CF44F1" w:rsidRPr="00F37F75">
        <w:rPr>
          <w:rFonts w:ascii="Times New Roman" w:hAnsi="Times New Roman" w:cs="Times New Roman"/>
        </w:rPr>
        <w:t>de rechercher les hyperparamètres</w:t>
      </w:r>
      <w:r w:rsidRPr="00F37F75">
        <w:rPr>
          <w:rFonts w:ascii="Times New Roman" w:hAnsi="Times New Roman" w:cs="Times New Roman"/>
        </w:rPr>
        <w:t xml:space="preserve"> sans surapprentissage. Le paramètre min_samples_leaf est fixé à 5 pour limiter le surapprentissage sur 350 observations, et class_weight à « balanced » pour la classification, la prévalence étant de 27 %.</w:t>
      </w:r>
    </w:p>
    <w:p w14:paraId="026AD718" w14:textId="3BCF715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Pour la régression, l'erreur absolue moyenne est directement interprétable dans l'unité de l'indice, et le R² situe le modèle par rapport à une prédiction constante. Pour la classification, la PR-AUC est comparée à la prévalence plutôt qu'à 0,5 : sur </w:t>
      </w:r>
      <w:r w:rsidR="00D04DD6">
        <w:rPr>
          <w:rFonts w:ascii="Times New Roman" w:hAnsi="Times New Roman" w:cs="Times New Roman"/>
        </w:rPr>
        <w:t xml:space="preserve">des </w:t>
      </w:r>
      <w:r w:rsidRPr="00F37F75">
        <w:rPr>
          <w:rFonts w:ascii="Times New Roman" w:hAnsi="Times New Roman" w:cs="Times New Roman"/>
        </w:rPr>
        <w:t>classes déséquilibrées, la ROC-AUC est optimiste, son dénominateur de faux positifs étant dominé par la classe majoritaire. Dans les deux cas, une référence explicite est systématiquement comparée.</w:t>
      </w:r>
    </w:p>
    <w:p w14:paraId="57CA5775" w14:textId="010323C3"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Modèle 1</w:t>
      </w:r>
      <w:r w:rsidR="00CF44F1" w:rsidRPr="00F37F75">
        <w:rPr>
          <w:rFonts w:ascii="Times New Roman" w:hAnsi="Times New Roman" w:cs="Times New Roman"/>
        </w:rPr>
        <w:t> :</w:t>
      </w:r>
      <w:r w:rsidRPr="00F37F75">
        <w:rPr>
          <w:rFonts w:ascii="Times New Roman" w:hAnsi="Times New Roman" w:cs="Times New Roman"/>
        </w:rPr>
        <w:t xml:space="preserve"> Indice de readiness</w:t>
      </w:r>
    </w:p>
    <w:p w14:paraId="796C531A" w14:textId="0773CB57" w:rsidR="00D04DD6" w:rsidRDefault="00D04DD6" w:rsidP="00C615BF">
      <w:pPr>
        <w:pStyle w:val="Lgende"/>
        <w:keepNext/>
        <w:jc w:val="both"/>
      </w:pPr>
      <w:r>
        <w:t xml:space="preserve">Tableau </w:t>
      </w:r>
      <w:r>
        <w:fldChar w:fldCharType="begin"/>
      </w:r>
      <w:r>
        <w:instrText xml:space="preserve"> SEQ Tableau \* ARABIC </w:instrText>
      </w:r>
      <w:r>
        <w:fldChar w:fldCharType="separate"/>
      </w:r>
      <w:r w:rsidR="00817545">
        <w:rPr>
          <w:noProof/>
        </w:rPr>
        <w:t>3</w:t>
      </w:r>
      <w:r>
        <w:fldChar w:fldCharType="end"/>
      </w:r>
      <w:r>
        <w:t xml:space="preserve">  Performances du modèle de readiness selon la configuration,</w:t>
      </w:r>
    </w:p>
    <w:tbl>
      <w:tblPr>
        <w:tblStyle w:val="Grilledutableau"/>
        <w:tblW w:w="7000" w:type="dxa"/>
        <w:jc w:val="center"/>
        <w:tblLook w:val="0000" w:firstRow="0" w:lastRow="0" w:firstColumn="0" w:lastColumn="0" w:noHBand="0" w:noVBand="0"/>
      </w:tblPr>
      <w:tblGrid>
        <w:gridCol w:w="4200"/>
        <w:gridCol w:w="1400"/>
        <w:gridCol w:w="1400"/>
      </w:tblGrid>
      <w:tr w:rsidR="008F0FDF" w:rsidRPr="00F37F75" w14:paraId="39D7FD77" w14:textId="77777777" w:rsidTr="00476C30">
        <w:trPr>
          <w:jc w:val="center"/>
        </w:trPr>
        <w:tc>
          <w:tcPr>
            <w:tcW w:w="4200" w:type="dxa"/>
          </w:tcPr>
          <w:p w14:paraId="088A160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Configuration</w:t>
            </w:r>
          </w:p>
        </w:tc>
        <w:tc>
          <w:tcPr>
            <w:tcW w:w="1400" w:type="dxa"/>
          </w:tcPr>
          <w:p w14:paraId="347AB71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MAE</w:t>
            </w:r>
          </w:p>
        </w:tc>
        <w:tc>
          <w:tcPr>
            <w:tcW w:w="1400" w:type="dxa"/>
          </w:tcPr>
          <w:p w14:paraId="62CEFD4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R²</w:t>
            </w:r>
          </w:p>
        </w:tc>
      </w:tr>
      <w:tr w:rsidR="008F0FDF" w:rsidRPr="00F37F75" w14:paraId="7777C8BE" w14:textId="77777777" w:rsidTr="00476C30">
        <w:trPr>
          <w:jc w:val="center"/>
        </w:trPr>
        <w:tc>
          <w:tcPr>
            <w:tcW w:w="4200" w:type="dxa"/>
          </w:tcPr>
          <w:p w14:paraId="2E23823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Référence : moyenne du participant</w:t>
            </w:r>
          </w:p>
        </w:tc>
        <w:tc>
          <w:tcPr>
            <w:tcW w:w="1400" w:type="dxa"/>
          </w:tcPr>
          <w:p w14:paraId="234661F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5,24</w:t>
            </w:r>
          </w:p>
        </w:tc>
        <w:tc>
          <w:tcPr>
            <w:tcW w:w="1400" w:type="dxa"/>
          </w:tcPr>
          <w:p w14:paraId="5E2974E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0,139</w:t>
            </w:r>
          </w:p>
        </w:tc>
      </w:tr>
      <w:tr w:rsidR="008F0FDF" w:rsidRPr="00F37F75" w14:paraId="5A2E613A" w14:textId="77777777" w:rsidTr="00476C30">
        <w:trPr>
          <w:jc w:val="center"/>
        </w:trPr>
        <w:tc>
          <w:tcPr>
            <w:tcW w:w="4200" w:type="dxa"/>
          </w:tcPr>
          <w:p w14:paraId="495D0BA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cible brute</w:t>
            </w:r>
          </w:p>
        </w:tc>
        <w:tc>
          <w:tcPr>
            <w:tcW w:w="1400" w:type="dxa"/>
          </w:tcPr>
          <w:p w14:paraId="1194A5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7,36</w:t>
            </w:r>
          </w:p>
        </w:tc>
        <w:tc>
          <w:tcPr>
            <w:tcW w:w="1400" w:type="dxa"/>
          </w:tcPr>
          <w:p w14:paraId="0E8D34C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−0,565</w:t>
            </w:r>
          </w:p>
        </w:tc>
      </w:tr>
      <w:tr w:rsidR="008F0FDF" w:rsidRPr="00F37F75" w14:paraId="0C470378" w14:textId="77777777" w:rsidTr="00476C30">
        <w:trPr>
          <w:jc w:val="center"/>
        </w:trPr>
        <w:tc>
          <w:tcPr>
            <w:tcW w:w="4200" w:type="dxa"/>
          </w:tcPr>
          <w:p w14:paraId="4054CAF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Random Forest, cible brute</w:t>
            </w:r>
          </w:p>
        </w:tc>
        <w:tc>
          <w:tcPr>
            <w:tcW w:w="1400" w:type="dxa"/>
          </w:tcPr>
          <w:p w14:paraId="0FFBE2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6,50</w:t>
            </w:r>
          </w:p>
        </w:tc>
        <w:tc>
          <w:tcPr>
            <w:tcW w:w="1400" w:type="dxa"/>
          </w:tcPr>
          <w:p w14:paraId="4D1A7D5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−0,257</w:t>
            </w:r>
          </w:p>
        </w:tc>
      </w:tr>
      <w:tr w:rsidR="008F0FDF" w:rsidRPr="00F37F75" w14:paraId="15982C5F" w14:textId="77777777" w:rsidTr="00476C30">
        <w:trPr>
          <w:jc w:val="center"/>
        </w:trPr>
        <w:tc>
          <w:tcPr>
            <w:tcW w:w="4200" w:type="dxa"/>
          </w:tcPr>
          <w:p w14:paraId="1B5CC10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cible normalisée par participant</w:t>
            </w:r>
          </w:p>
        </w:tc>
        <w:tc>
          <w:tcPr>
            <w:tcW w:w="1400" w:type="dxa"/>
          </w:tcPr>
          <w:p w14:paraId="5066DAE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0,83</w:t>
            </w:r>
          </w:p>
        </w:tc>
        <w:tc>
          <w:tcPr>
            <w:tcW w:w="1400" w:type="dxa"/>
          </w:tcPr>
          <w:p w14:paraId="14E7A45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−0,155</w:t>
            </w:r>
          </w:p>
        </w:tc>
      </w:tr>
      <w:tr w:rsidR="008F0FDF" w:rsidRPr="00F37F75" w14:paraId="7F91B908" w14:textId="77777777" w:rsidTr="00476C30">
        <w:trPr>
          <w:jc w:val="center"/>
        </w:trPr>
        <w:tc>
          <w:tcPr>
            <w:tcW w:w="4200" w:type="dxa"/>
          </w:tcPr>
          <w:p w14:paraId="09EAE3A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normalisée + état de la veille</w:t>
            </w:r>
          </w:p>
        </w:tc>
        <w:tc>
          <w:tcPr>
            <w:tcW w:w="1400" w:type="dxa"/>
          </w:tcPr>
          <w:p w14:paraId="132D08F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0,74</w:t>
            </w:r>
          </w:p>
        </w:tc>
        <w:tc>
          <w:tcPr>
            <w:tcW w:w="1400" w:type="dxa"/>
          </w:tcPr>
          <w:p w14:paraId="41BCB5A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0,029</w:t>
            </w:r>
          </w:p>
        </w:tc>
      </w:tr>
    </w:tbl>
    <w:p w14:paraId="1474614B" w14:textId="77777777" w:rsidR="008F0FDF" w:rsidRPr="00F37F75" w:rsidRDefault="008F0FDF" w:rsidP="00C615BF">
      <w:pPr>
        <w:spacing w:after="140"/>
        <w:jc w:val="both"/>
        <w:rPr>
          <w:rFonts w:ascii="Times New Roman" w:hAnsi="Times New Roman" w:cs="Times New Roman"/>
        </w:rPr>
      </w:pPr>
    </w:p>
    <w:p w14:paraId="5A1016A4" w14:textId="77777777" w:rsidR="00D04DD6"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Sur la cible brute, les modèles font moins bien que la référence. Le R² négatif s'explique par </w:t>
      </w:r>
      <w:r w:rsidR="00476C30" w:rsidRPr="00F37F75">
        <w:rPr>
          <w:rFonts w:ascii="Times New Roman" w:hAnsi="Times New Roman" w:cs="Times New Roman"/>
        </w:rPr>
        <w:t>des niveaux d'indice différents entre les</w:t>
      </w:r>
      <w:r w:rsidRPr="00F37F75">
        <w:rPr>
          <w:rFonts w:ascii="Times New Roman" w:hAnsi="Times New Roman" w:cs="Times New Roman"/>
        </w:rPr>
        <w:t xml:space="preserve"> participants</w:t>
      </w:r>
      <w:r w:rsidR="00476C30" w:rsidRPr="00F37F75">
        <w:rPr>
          <w:rFonts w:ascii="Times New Roman" w:hAnsi="Times New Roman" w:cs="Times New Roman"/>
        </w:rPr>
        <w:t> :</w:t>
      </w:r>
      <w:r w:rsidRPr="00F37F75">
        <w:rPr>
          <w:rFonts w:ascii="Times New Roman" w:hAnsi="Times New Roman" w:cs="Times New Roman"/>
        </w:rPr>
        <w:t xml:space="preserve"> 52,2 pour p01, 59,2 pour p03, 56,3 pour p05</w:t>
      </w:r>
      <w:r w:rsidR="00476C30" w:rsidRPr="00F37F75">
        <w:rPr>
          <w:rFonts w:ascii="Times New Roman" w:hAnsi="Times New Roman" w:cs="Times New Roman"/>
        </w:rPr>
        <w:t>.</w:t>
      </w:r>
      <w:r w:rsidRPr="00F37F75">
        <w:rPr>
          <w:rFonts w:ascii="Times New Roman" w:hAnsi="Times New Roman" w:cs="Times New Roman"/>
        </w:rPr>
        <w:t xml:space="preserve"> </w:t>
      </w:r>
      <w:r w:rsidR="00476C30" w:rsidRPr="00F37F75">
        <w:rPr>
          <w:rFonts w:ascii="Times New Roman" w:hAnsi="Times New Roman" w:cs="Times New Roman"/>
        </w:rPr>
        <w:t>Entraîné</w:t>
      </w:r>
      <w:r w:rsidRPr="00F37F75">
        <w:rPr>
          <w:rFonts w:ascii="Times New Roman" w:hAnsi="Times New Roman" w:cs="Times New Roman"/>
        </w:rPr>
        <w:t xml:space="preserve"> sur deux sujets, le modèle applique </w:t>
      </w:r>
      <w:r w:rsidR="00F40F92">
        <w:rPr>
          <w:rFonts w:ascii="Times New Roman" w:hAnsi="Times New Roman" w:cs="Times New Roman"/>
        </w:rPr>
        <w:t>son</w:t>
      </w:r>
      <w:r w:rsidRPr="00F37F75">
        <w:rPr>
          <w:rFonts w:ascii="Times New Roman" w:hAnsi="Times New Roman" w:cs="Times New Roman"/>
        </w:rPr>
        <w:t xml:space="preserve"> niveau au troisième. La normalisation individuelle corrige ce biais sans </w:t>
      </w:r>
      <w:r w:rsidR="00D04DD6">
        <w:rPr>
          <w:rFonts w:ascii="Times New Roman" w:hAnsi="Times New Roman" w:cs="Times New Roman"/>
        </w:rPr>
        <w:t>faire passer le R² en</w:t>
      </w:r>
      <w:r w:rsidRPr="00F37F75">
        <w:rPr>
          <w:rFonts w:ascii="Times New Roman" w:hAnsi="Times New Roman" w:cs="Times New Roman"/>
        </w:rPr>
        <w:t xml:space="preserve"> positif</w:t>
      </w:r>
      <w:r w:rsidR="00D04DD6">
        <w:rPr>
          <w:rFonts w:ascii="Times New Roman" w:hAnsi="Times New Roman" w:cs="Times New Roman"/>
        </w:rPr>
        <w:t xml:space="preserve"> (Tableau 3)</w:t>
      </w:r>
      <w:r w:rsidRPr="00F37F75">
        <w:rPr>
          <w:rFonts w:ascii="Times New Roman" w:hAnsi="Times New Roman" w:cs="Times New Roman"/>
        </w:rPr>
        <w:t>.</w:t>
      </w:r>
      <w:r w:rsidR="00D04DD6">
        <w:rPr>
          <w:rFonts w:ascii="Times New Roman" w:hAnsi="Times New Roman" w:cs="Times New Roman"/>
        </w:rPr>
        <w:t xml:space="preserve"> </w:t>
      </w:r>
    </w:p>
    <w:p w14:paraId="4FC5379D" w14:textId="0CF1E300" w:rsidR="008F0FDF" w:rsidRPr="00F37F75" w:rsidRDefault="00D04DD6" w:rsidP="00C615BF">
      <w:pPr>
        <w:spacing w:after="140" w:line="276" w:lineRule="auto"/>
        <w:jc w:val="both"/>
        <w:rPr>
          <w:rFonts w:ascii="Times New Roman" w:hAnsi="Times New Roman" w:cs="Times New Roman"/>
        </w:rPr>
      </w:pPr>
      <w:r w:rsidRPr="00D04DD6">
        <w:rPr>
          <w:rFonts w:ascii="Times New Roman" w:hAnsi="Times New Roman" w:cs="Times New Roman"/>
        </w:rPr>
        <w:t xml:space="preserve">La figure 5 </w:t>
      </w:r>
      <w:r w:rsidR="006B6D2B">
        <w:rPr>
          <w:rFonts w:ascii="Times New Roman" w:hAnsi="Times New Roman" w:cs="Times New Roman"/>
        </w:rPr>
        <w:t>ontre</w:t>
      </w:r>
      <w:r w:rsidRPr="00D04DD6">
        <w:rPr>
          <w:rFonts w:ascii="Times New Roman" w:hAnsi="Times New Roman" w:cs="Times New Roman"/>
        </w:rPr>
        <w:t xml:space="preserve"> cette difficulté : les distributions de fréquence cardiaque de p01 et p05 se recouvrent à peine. Un modèle entraîné sur l'un s'applique à l'autre avec un niveau de référence inapproprié.</w:t>
      </w:r>
    </w:p>
    <w:p w14:paraId="5BF352CE"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2FD0877D" wp14:editId="6DEA966E">
            <wp:extent cx="5143500" cy="16764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676400"/>
                    </a:xfrm>
                    <a:prstGeom prst="rect">
                      <a:avLst/>
                    </a:prstGeom>
                  </pic:spPr>
                </pic:pic>
              </a:graphicData>
            </a:graphic>
          </wp:inline>
        </w:drawing>
      </w:r>
    </w:p>
    <w:p w14:paraId="20BCA1B3" w14:textId="2EAA4E9F"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 xml:space="preserve">Figure </w:t>
      </w:r>
      <w:r w:rsidR="00D04DD6" w:rsidRPr="00F37F75">
        <w:rPr>
          <w:rFonts w:ascii="Times New Roman" w:hAnsi="Times New Roman" w:cs="Times New Roman"/>
          <w:i/>
          <w:iCs/>
          <w:color w:val="595959"/>
          <w:sz w:val="18"/>
          <w:szCs w:val="18"/>
        </w:rPr>
        <w:t>5 Fréquence</w:t>
      </w:r>
      <w:r w:rsidRPr="00F37F75">
        <w:rPr>
          <w:rFonts w:ascii="Times New Roman" w:hAnsi="Times New Roman" w:cs="Times New Roman"/>
          <w:i/>
          <w:iCs/>
          <w:color w:val="595959"/>
          <w:sz w:val="18"/>
          <w:szCs w:val="18"/>
        </w:rPr>
        <w:t xml:space="preserve"> cardiaque moyenne chez p01 et p05. Les distributions se recouvrent à peine : un modèle entraîné sur </w:t>
      </w:r>
      <w:r w:rsidR="00476C30" w:rsidRPr="00F37F75">
        <w:rPr>
          <w:rFonts w:ascii="Times New Roman" w:hAnsi="Times New Roman" w:cs="Times New Roman"/>
          <w:i/>
          <w:iCs/>
          <w:color w:val="595959"/>
          <w:sz w:val="18"/>
          <w:szCs w:val="18"/>
        </w:rPr>
        <w:t>l'une ne convient pas à l'autre</w:t>
      </w:r>
      <w:r w:rsidRPr="00F37F75">
        <w:rPr>
          <w:rFonts w:ascii="Times New Roman" w:hAnsi="Times New Roman" w:cs="Times New Roman"/>
          <w:i/>
          <w:iCs/>
          <w:color w:val="595959"/>
          <w:sz w:val="18"/>
          <w:szCs w:val="18"/>
        </w:rPr>
        <w:t>.</w:t>
      </w:r>
    </w:p>
    <w:p w14:paraId="7F9402FA" w14:textId="3458C31A" w:rsidR="008F0FDF" w:rsidRPr="00F37F75"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 xml:space="preserve">L'ajout de </w:t>
      </w:r>
      <w:r w:rsidR="00DF6989">
        <w:rPr>
          <w:rFonts w:ascii="Times New Roman" w:hAnsi="Times New Roman" w:cs="Times New Roman"/>
          <w:b/>
          <w:bCs/>
        </w:rPr>
        <w:t xml:space="preserve">la </w:t>
      </w:r>
      <w:r w:rsidRPr="00D04DD6">
        <w:rPr>
          <w:rFonts w:ascii="Times New Roman" w:hAnsi="Times New Roman" w:cs="Times New Roman"/>
          <w:b/>
          <w:bCs/>
        </w:rPr>
        <w:t xml:space="preserve">veille </w:t>
      </w:r>
      <w:r w:rsidR="00D04DD6" w:rsidRPr="00D04DD6">
        <w:rPr>
          <w:rFonts w:ascii="Times New Roman" w:hAnsi="Times New Roman" w:cs="Times New Roman"/>
          <w:b/>
          <w:bCs/>
        </w:rPr>
        <w:t>constitue</w:t>
      </w:r>
      <w:r w:rsidRPr="00D04DD6">
        <w:rPr>
          <w:rFonts w:ascii="Times New Roman" w:hAnsi="Times New Roman" w:cs="Times New Roman"/>
          <w:b/>
          <w:bCs/>
        </w:rPr>
        <w:t xml:space="preserve"> le seul apport décisif</w:t>
      </w:r>
      <w:r w:rsidRPr="00F37F75">
        <w:rPr>
          <w:rFonts w:ascii="Times New Roman" w:hAnsi="Times New Roman" w:cs="Times New Roman"/>
        </w:rPr>
        <w:t>. Autrement dit, le meilleur prédicteur de l'état de demain est l'état d'aujourd'hui ; les variables objectives d'activité et de sommeil n'apportent qu'un gain marginal.</w:t>
      </w:r>
    </w:p>
    <w:p w14:paraId="6C431E70" w14:textId="240F78B6" w:rsidR="008F0FDF" w:rsidRPr="00F37F75"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L'analyse bivariée en donne la raison</w:t>
      </w:r>
      <w:r w:rsidRPr="00F37F75">
        <w:rPr>
          <w:rFonts w:ascii="Times New Roman" w:hAnsi="Times New Roman" w:cs="Times New Roman"/>
        </w:rPr>
        <w:t xml:space="preserve"> : pour six </w:t>
      </w:r>
      <w:r w:rsidR="00CF44F1" w:rsidRPr="00F37F75">
        <w:rPr>
          <w:rFonts w:ascii="Times New Roman" w:hAnsi="Times New Roman" w:cs="Times New Roman"/>
        </w:rPr>
        <w:t>des dix variables</w:t>
      </w:r>
      <w:r w:rsidRPr="00F37F75">
        <w:rPr>
          <w:rFonts w:ascii="Times New Roman" w:hAnsi="Times New Roman" w:cs="Times New Roman"/>
        </w:rPr>
        <w:t xml:space="preserve">, le signe de l'association avec l'indice s'inverse selon le participant. </w:t>
      </w:r>
      <w:r w:rsidR="00CA7CF3" w:rsidRPr="00CA7CF3">
        <w:rPr>
          <w:rFonts w:ascii="Times New Roman" w:hAnsi="Times New Roman" w:cs="Times New Roman"/>
        </w:rPr>
        <w:t>Seules la charge aiguë et l'ACWR conservent un signe négatif chez les trois</w:t>
      </w:r>
      <w:r w:rsidR="00CA7CF3">
        <w:rPr>
          <w:rFonts w:ascii="Times New Roman" w:hAnsi="Times New Roman" w:cs="Times New Roman"/>
        </w:rPr>
        <w:t>.</w:t>
      </w:r>
    </w:p>
    <w:p w14:paraId="5054F77A" w14:textId="3FDA3DCA" w:rsidR="006B6D2B"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Ce résultat rejoint la littérature. Saw et al. (2016) établissent, sur </w:t>
      </w:r>
      <w:r w:rsidR="00476C30" w:rsidRPr="00F37F75">
        <w:rPr>
          <w:rFonts w:ascii="Times New Roman" w:hAnsi="Times New Roman" w:cs="Times New Roman"/>
        </w:rPr>
        <w:t xml:space="preserve">la base de </w:t>
      </w:r>
      <w:r w:rsidRPr="00F37F75">
        <w:rPr>
          <w:rFonts w:ascii="Times New Roman" w:hAnsi="Times New Roman" w:cs="Times New Roman"/>
        </w:rPr>
        <w:t xml:space="preserve">56 études, que </w:t>
      </w:r>
      <w:r w:rsidR="00476C30" w:rsidRPr="00F37F75">
        <w:rPr>
          <w:rFonts w:ascii="Times New Roman" w:hAnsi="Times New Roman" w:cs="Times New Roman"/>
        </w:rPr>
        <w:t xml:space="preserve">les </w:t>
      </w:r>
      <w:r w:rsidRPr="00F37F75">
        <w:rPr>
          <w:rFonts w:ascii="Times New Roman" w:hAnsi="Times New Roman" w:cs="Times New Roman"/>
        </w:rPr>
        <w:t xml:space="preserve">mesures subjectives et objectives ne </w:t>
      </w:r>
      <w:r w:rsidR="00476C30" w:rsidRPr="00F37F75">
        <w:rPr>
          <w:rFonts w:ascii="Times New Roman" w:hAnsi="Times New Roman" w:cs="Times New Roman"/>
        </w:rPr>
        <w:t>sont généralement pas corrélées</w:t>
      </w:r>
      <w:r w:rsidRPr="00F37F75">
        <w:rPr>
          <w:rFonts w:ascii="Times New Roman" w:hAnsi="Times New Roman" w:cs="Times New Roman"/>
        </w:rPr>
        <w:t xml:space="preserve">. La difficulté à prédire un indice auto-déclaré à partir de mesures de capteur n'est donc pas propre à ce jeu de </w:t>
      </w:r>
      <w:r w:rsidR="00476C30" w:rsidRPr="00F37F75">
        <w:rPr>
          <w:rFonts w:ascii="Times New Roman" w:hAnsi="Times New Roman" w:cs="Times New Roman"/>
        </w:rPr>
        <w:t>données.</w:t>
      </w:r>
    </w:p>
    <w:p w14:paraId="4F0DC3A5" w14:textId="75BC2920"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Modèle 2</w:t>
      </w:r>
      <w:r w:rsidR="00CF44F1" w:rsidRPr="00F37F75">
        <w:rPr>
          <w:rFonts w:ascii="Times New Roman" w:hAnsi="Times New Roman" w:cs="Times New Roman"/>
        </w:rPr>
        <w:t> :</w:t>
      </w:r>
      <w:r w:rsidRPr="00F37F75">
        <w:rPr>
          <w:rFonts w:ascii="Times New Roman" w:hAnsi="Times New Roman" w:cs="Times New Roman"/>
        </w:rPr>
        <w:t xml:space="preserve"> Risque de blessure</w:t>
      </w:r>
    </w:p>
    <w:p w14:paraId="2CD9DFBF" w14:textId="77777777" w:rsidR="006B6D2B"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Deux formulations de la cible ont été testées. </w:t>
      </w:r>
    </w:p>
    <w:p w14:paraId="14BB2767" w14:textId="6AE34BA5" w:rsidR="006B6D2B"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6B6D2B">
        <w:rPr>
          <w:rFonts w:ascii="Times New Roman" w:hAnsi="Times New Roman" w:cs="Times New Roman"/>
          <w:b/>
          <w:bCs/>
        </w:rPr>
        <w:t>L'état courant propage</w:t>
      </w:r>
      <w:r w:rsidRPr="006B6D2B">
        <w:rPr>
          <w:rFonts w:ascii="Times New Roman" w:hAnsi="Times New Roman" w:cs="Times New Roman"/>
        </w:rPr>
        <w:t xml:space="preserve"> chaque déclaration sur 14 jours, durée correspondant aux écarts observés entre déclarations consécutives chez p05 (1 à 15 jours) ; le modèle répond </w:t>
      </w:r>
      <w:r w:rsidRPr="006B6D2B">
        <w:rPr>
          <w:rFonts w:ascii="Times New Roman" w:hAnsi="Times New Roman" w:cs="Times New Roman"/>
          <w:b/>
          <w:bCs/>
        </w:rPr>
        <w:t xml:space="preserve">alors à </w:t>
      </w:r>
      <w:r w:rsidR="00476C30" w:rsidRPr="006B6D2B">
        <w:rPr>
          <w:rFonts w:ascii="Times New Roman" w:hAnsi="Times New Roman" w:cs="Times New Roman"/>
          <w:b/>
          <w:bCs/>
        </w:rPr>
        <w:t xml:space="preserve">la question </w:t>
      </w:r>
      <w:r w:rsidRPr="006B6D2B">
        <w:rPr>
          <w:rFonts w:ascii="Times New Roman" w:hAnsi="Times New Roman" w:cs="Times New Roman"/>
          <w:b/>
          <w:bCs/>
        </w:rPr>
        <w:t xml:space="preserve">« ce joueur est-il blessé aujourd'hui </w:t>
      </w:r>
      <w:r w:rsidR="00CF44F1" w:rsidRPr="006B6D2B">
        <w:rPr>
          <w:rFonts w:ascii="Times New Roman" w:hAnsi="Times New Roman" w:cs="Times New Roman"/>
          <w:b/>
          <w:bCs/>
        </w:rPr>
        <w:t>?</w:t>
      </w:r>
      <w:r w:rsidR="00CF44F1" w:rsidRPr="006B6D2B">
        <w:rPr>
          <w:rFonts w:ascii="Times New Roman" w:hAnsi="Times New Roman" w:cs="Times New Roman"/>
        </w:rPr>
        <w:t xml:space="preserve"> </w:t>
      </w:r>
      <w:r w:rsidRPr="006B6D2B">
        <w:rPr>
          <w:rFonts w:ascii="Times New Roman" w:hAnsi="Times New Roman" w:cs="Times New Roman"/>
        </w:rPr>
        <w:t>».</w:t>
      </w:r>
    </w:p>
    <w:p w14:paraId="5E177831" w14:textId="63305F3A" w:rsidR="008F0FDF"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6B6D2B">
        <w:rPr>
          <w:rFonts w:ascii="Times New Roman" w:hAnsi="Times New Roman" w:cs="Times New Roman"/>
          <w:b/>
          <w:bCs/>
        </w:rPr>
        <w:t>Le risque prospectif</w:t>
      </w:r>
      <w:r w:rsidRPr="006B6D2B">
        <w:rPr>
          <w:rFonts w:ascii="Times New Roman" w:hAnsi="Times New Roman" w:cs="Times New Roman"/>
        </w:rPr>
        <w:t xml:space="preserve">, construit par jointure temporelle, porte sur une blessure survenant dans les 7 jours </w:t>
      </w:r>
      <w:r w:rsidR="00476C30" w:rsidRPr="006B6D2B">
        <w:rPr>
          <w:rFonts w:ascii="Times New Roman" w:hAnsi="Times New Roman" w:cs="Times New Roman"/>
        </w:rPr>
        <w:t>suivants</w:t>
      </w:r>
      <w:r w:rsidR="00CF44F1" w:rsidRPr="006B6D2B">
        <w:rPr>
          <w:rFonts w:ascii="Times New Roman" w:hAnsi="Times New Roman" w:cs="Times New Roman"/>
        </w:rPr>
        <w:t xml:space="preserve"> ; il répond à la question</w:t>
      </w:r>
      <w:r w:rsidRPr="006B6D2B">
        <w:rPr>
          <w:rFonts w:ascii="Times New Roman" w:hAnsi="Times New Roman" w:cs="Times New Roman"/>
        </w:rPr>
        <w:t xml:space="preserve"> « </w:t>
      </w:r>
      <w:r w:rsidRPr="006B6D2B">
        <w:rPr>
          <w:rFonts w:ascii="Times New Roman" w:hAnsi="Times New Roman" w:cs="Times New Roman"/>
          <w:b/>
          <w:bCs/>
        </w:rPr>
        <w:t>ce joueur risque-t-il de se blesser », formulation plus conforme à un usage opérationnel.</w:t>
      </w:r>
    </w:p>
    <w:p w14:paraId="456AD52E" w14:textId="0C74709E"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Régression logistique pondérée dans les deux cas, </w:t>
      </w:r>
      <w:r w:rsidR="00CF44F1" w:rsidRPr="00F37F75">
        <w:rPr>
          <w:rFonts w:ascii="Times New Roman" w:hAnsi="Times New Roman" w:cs="Times New Roman"/>
        </w:rPr>
        <w:t>avec les mêmes variables et la</w:t>
      </w:r>
      <w:r w:rsidRPr="00F37F75">
        <w:rPr>
          <w:rFonts w:ascii="Times New Roman" w:hAnsi="Times New Roman" w:cs="Times New Roman"/>
        </w:rPr>
        <w:t xml:space="preserve"> même validation </w:t>
      </w:r>
      <w:r w:rsidR="006B6D2B">
        <w:rPr>
          <w:rFonts w:ascii="Times New Roman" w:hAnsi="Times New Roman" w:cs="Times New Roman"/>
        </w:rPr>
        <w:t>LOPO </w:t>
      </w:r>
    </w:p>
    <w:p w14:paraId="6F125C70" w14:textId="1E624211" w:rsidR="00D04DD6" w:rsidRDefault="00D04DD6" w:rsidP="00C615BF">
      <w:pPr>
        <w:pStyle w:val="Lgende"/>
        <w:keepNext/>
        <w:jc w:val="both"/>
      </w:pPr>
      <w:r>
        <w:t xml:space="preserve">Tableau </w:t>
      </w:r>
      <w:r>
        <w:fldChar w:fldCharType="begin"/>
      </w:r>
      <w:r>
        <w:instrText xml:space="preserve"> SEQ Tableau \* ARABIC </w:instrText>
      </w:r>
      <w:r>
        <w:fldChar w:fldCharType="separate"/>
      </w:r>
      <w:r w:rsidR="00817545">
        <w:rPr>
          <w:noProof/>
        </w:rPr>
        <w:t>4</w:t>
      </w:r>
      <w:r>
        <w:fldChar w:fldCharType="end"/>
      </w:r>
      <w:r>
        <w:t xml:space="preserve"> Score de performance selon les 2 cibles</w:t>
      </w:r>
    </w:p>
    <w:tbl>
      <w:tblPr>
        <w:tblStyle w:val="Grilledetableauclaire"/>
        <w:tblW w:w="8800" w:type="dxa"/>
        <w:tblLook w:val="0000" w:firstRow="0" w:lastRow="0" w:firstColumn="0" w:lastColumn="0" w:noHBand="0" w:noVBand="0"/>
      </w:tblPr>
      <w:tblGrid>
        <w:gridCol w:w="2400"/>
        <w:gridCol w:w="2400"/>
        <w:gridCol w:w="1300"/>
        <w:gridCol w:w="1300"/>
        <w:gridCol w:w="1400"/>
      </w:tblGrid>
      <w:tr w:rsidR="008F0FDF" w:rsidRPr="00F37F75" w14:paraId="33C870EB" w14:textId="77777777" w:rsidTr="00476C30">
        <w:tc>
          <w:tcPr>
            <w:tcW w:w="2400" w:type="dxa"/>
          </w:tcPr>
          <w:p w14:paraId="2E81165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Cible</w:t>
            </w:r>
          </w:p>
        </w:tc>
        <w:tc>
          <w:tcPr>
            <w:tcW w:w="2400" w:type="dxa"/>
          </w:tcPr>
          <w:p w14:paraId="2942A5C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Positifs (p01/p03/p05)</w:t>
            </w:r>
          </w:p>
        </w:tc>
        <w:tc>
          <w:tcPr>
            <w:tcW w:w="1300" w:type="dxa"/>
          </w:tcPr>
          <w:p w14:paraId="7CDF8B0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ROC-AUC</w:t>
            </w:r>
          </w:p>
        </w:tc>
        <w:tc>
          <w:tcPr>
            <w:tcW w:w="1300" w:type="dxa"/>
          </w:tcPr>
          <w:p w14:paraId="26E5786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PR-AUC</w:t>
            </w:r>
          </w:p>
        </w:tc>
        <w:tc>
          <w:tcPr>
            <w:tcW w:w="1400" w:type="dxa"/>
          </w:tcPr>
          <w:p w14:paraId="4C49518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Prévalence</w:t>
            </w:r>
          </w:p>
        </w:tc>
      </w:tr>
      <w:tr w:rsidR="008F0FDF" w:rsidRPr="00F37F75" w14:paraId="0627E4A2" w14:textId="77777777" w:rsidTr="00476C30">
        <w:tc>
          <w:tcPr>
            <w:tcW w:w="2400" w:type="dxa"/>
          </w:tcPr>
          <w:p w14:paraId="2BA0C3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État courant</w:t>
            </w:r>
          </w:p>
        </w:tc>
        <w:tc>
          <w:tcPr>
            <w:tcW w:w="2400" w:type="dxa"/>
          </w:tcPr>
          <w:p w14:paraId="518881A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7 / 0 / 83</w:t>
            </w:r>
          </w:p>
        </w:tc>
        <w:tc>
          <w:tcPr>
            <w:tcW w:w="1300" w:type="dxa"/>
          </w:tcPr>
          <w:p w14:paraId="7CE2025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0,087</w:t>
            </w:r>
          </w:p>
        </w:tc>
        <w:tc>
          <w:tcPr>
            <w:tcW w:w="1300" w:type="dxa"/>
          </w:tcPr>
          <w:p w14:paraId="058078F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0,155</w:t>
            </w:r>
          </w:p>
        </w:tc>
        <w:tc>
          <w:tcPr>
            <w:tcW w:w="1400" w:type="dxa"/>
          </w:tcPr>
          <w:p w14:paraId="2CAD0F1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0,270</w:t>
            </w:r>
          </w:p>
        </w:tc>
      </w:tr>
      <w:tr w:rsidR="008F0FDF" w:rsidRPr="00F37F75" w14:paraId="1AAED194" w14:textId="77777777" w:rsidTr="00476C30">
        <w:tc>
          <w:tcPr>
            <w:tcW w:w="2400" w:type="dxa"/>
          </w:tcPr>
          <w:p w14:paraId="437ACC1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Risque à 7 jours</w:t>
            </w:r>
          </w:p>
        </w:tc>
        <w:tc>
          <w:tcPr>
            <w:tcW w:w="2400" w:type="dxa"/>
          </w:tcPr>
          <w:p w14:paraId="58F402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 / 0 / 55</w:t>
            </w:r>
          </w:p>
        </w:tc>
        <w:tc>
          <w:tcPr>
            <w:tcW w:w="1300" w:type="dxa"/>
          </w:tcPr>
          <w:p w14:paraId="2400281C"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0,266</w:t>
            </w:r>
          </w:p>
        </w:tc>
        <w:tc>
          <w:tcPr>
            <w:tcW w:w="1300" w:type="dxa"/>
          </w:tcPr>
          <w:p w14:paraId="350F7D2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0,115</w:t>
            </w:r>
          </w:p>
        </w:tc>
        <w:tc>
          <w:tcPr>
            <w:tcW w:w="1400" w:type="dxa"/>
          </w:tcPr>
          <w:p w14:paraId="2E41503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0,138</w:t>
            </w:r>
          </w:p>
        </w:tc>
      </w:tr>
    </w:tbl>
    <w:p w14:paraId="3FAAE9D1" w14:textId="77777777" w:rsidR="008F0FDF" w:rsidRPr="00F37F75" w:rsidRDefault="008F0FDF" w:rsidP="00C615BF">
      <w:pPr>
        <w:spacing w:after="140"/>
        <w:jc w:val="both"/>
        <w:rPr>
          <w:rFonts w:ascii="Times New Roman" w:hAnsi="Times New Roman" w:cs="Times New Roman"/>
        </w:rPr>
      </w:pPr>
    </w:p>
    <w:p w14:paraId="1AD8C29B" w14:textId="2B6A2C38"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deux produisent un classement inversé : une ROC-AUC inférieure à 0,5 ne traduit pas </w:t>
      </w:r>
      <w:r w:rsidR="00CF44F1" w:rsidRPr="00F37F75">
        <w:rPr>
          <w:rFonts w:ascii="Times New Roman" w:hAnsi="Times New Roman" w:cs="Times New Roman"/>
        </w:rPr>
        <w:t>l’absence de signal,</w:t>
      </w:r>
      <w:r w:rsidRPr="00F37F75">
        <w:rPr>
          <w:rFonts w:ascii="Times New Roman" w:hAnsi="Times New Roman" w:cs="Times New Roman"/>
        </w:rPr>
        <w:t xml:space="preserve"> mais une inversion systématique. L'examen des probabilités </w:t>
      </w:r>
      <w:r w:rsidR="00D04DD6" w:rsidRPr="00D04DD6">
        <w:rPr>
          <w:rFonts w:ascii="Times New Roman" w:hAnsi="Times New Roman" w:cs="Times New Roman"/>
          <w:b/>
          <w:bCs/>
        </w:rPr>
        <w:t>du tableau 5</w:t>
      </w:r>
      <w:r w:rsidR="00D04DD6">
        <w:rPr>
          <w:rFonts w:ascii="Times New Roman" w:hAnsi="Times New Roman" w:cs="Times New Roman"/>
        </w:rPr>
        <w:t>, moyennes par participant,</w:t>
      </w:r>
      <w:r w:rsidRPr="00F37F75">
        <w:rPr>
          <w:rFonts w:ascii="Times New Roman" w:hAnsi="Times New Roman" w:cs="Times New Roman"/>
        </w:rPr>
        <w:t xml:space="preserve"> l'explique.</w:t>
      </w:r>
    </w:p>
    <w:p w14:paraId="26FAD514" w14:textId="54941DA6" w:rsidR="00D04DD6" w:rsidRDefault="00D04DD6" w:rsidP="00C615BF">
      <w:pPr>
        <w:pStyle w:val="Lgende"/>
        <w:keepNext/>
        <w:jc w:val="both"/>
      </w:pPr>
      <w:r>
        <w:t xml:space="preserve">Tableau </w:t>
      </w:r>
      <w:r>
        <w:fldChar w:fldCharType="begin"/>
      </w:r>
      <w:r>
        <w:instrText xml:space="preserve"> SEQ Tableau \* ARABIC </w:instrText>
      </w:r>
      <w:r>
        <w:fldChar w:fldCharType="separate"/>
      </w:r>
      <w:r w:rsidR="00817545">
        <w:rPr>
          <w:noProof/>
        </w:rPr>
        <w:t>5</w:t>
      </w:r>
      <w:r>
        <w:fldChar w:fldCharType="end"/>
      </w:r>
      <w:r>
        <w:t xml:space="preserve"> </w:t>
      </w:r>
      <w:r w:rsidRPr="00EA362E">
        <w:t>Taux de blessure réel et probabilité moyenne prédite, par participant</w:t>
      </w:r>
    </w:p>
    <w:tbl>
      <w:tblPr>
        <w:tblStyle w:val="Grilledetableauclaire"/>
        <w:tblW w:w="7600" w:type="dxa"/>
        <w:jc w:val="center"/>
        <w:tblLook w:val="0000" w:firstRow="0" w:lastRow="0" w:firstColumn="0" w:lastColumn="0" w:noHBand="0" w:noVBand="0"/>
      </w:tblPr>
      <w:tblGrid>
        <w:gridCol w:w="2200"/>
        <w:gridCol w:w="2600"/>
        <w:gridCol w:w="2800"/>
      </w:tblGrid>
      <w:tr w:rsidR="008F0FDF" w:rsidRPr="00F37F75" w14:paraId="3D1699F9" w14:textId="77777777" w:rsidTr="00476C30">
        <w:trPr>
          <w:jc w:val="center"/>
        </w:trPr>
        <w:tc>
          <w:tcPr>
            <w:tcW w:w="2200" w:type="dxa"/>
          </w:tcPr>
          <w:p w14:paraId="08AE795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Participant</w:t>
            </w:r>
          </w:p>
        </w:tc>
        <w:tc>
          <w:tcPr>
            <w:tcW w:w="2600" w:type="dxa"/>
          </w:tcPr>
          <w:p w14:paraId="2870FD6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Taux de blessure réel</w:t>
            </w:r>
          </w:p>
        </w:tc>
        <w:tc>
          <w:tcPr>
            <w:tcW w:w="2800" w:type="dxa"/>
          </w:tcPr>
          <w:p w14:paraId="11B7391C"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Probabilité prédite moyenne</w:t>
            </w:r>
          </w:p>
        </w:tc>
      </w:tr>
      <w:tr w:rsidR="008F0FDF" w:rsidRPr="00F37F75" w14:paraId="1419C7E7" w14:textId="77777777" w:rsidTr="00476C30">
        <w:trPr>
          <w:jc w:val="center"/>
        </w:trPr>
        <w:tc>
          <w:tcPr>
            <w:tcW w:w="2200" w:type="dxa"/>
          </w:tcPr>
          <w:p w14:paraId="271DC52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p01</w:t>
            </w:r>
          </w:p>
        </w:tc>
        <w:tc>
          <w:tcPr>
            <w:tcW w:w="2600" w:type="dxa"/>
          </w:tcPr>
          <w:p w14:paraId="3C20CE3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4,8 %</w:t>
            </w:r>
          </w:p>
        </w:tc>
        <w:tc>
          <w:tcPr>
            <w:tcW w:w="2800" w:type="dxa"/>
          </w:tcPr>
          <w:p w14:paraId="51931F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0,975</w:t>
            </w:r>
          </w:p>
        </w:tc>
      </w:tr>
      <w:tr w:rsidR="008F0FDF" w:rsidRPr="00F37F75" w14:paraId="6E3002A4" w14:textId="77777777" w:rsidTr="00476C30">
        <w:trPr>
          <w:jc w:val="center"/>
        </w:trPr>
        <w:tc>
          <w:tcPr>
            <w:tcW w:w="2200" w:type="dxa"/>
          </w:tcPr>
          <w:p w14:paraId="3C16AE8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p03</w:t>
            </w:r>
          </w:p>
        </w:tc>
        <w:tc>
          <w:tcPr>
            <w:tcW w:w="2600" w:type="dxa"/>
          </w:tcPr>
          <w:p w14:paraId="4D3241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0 %</w:t>
            </w:r>
          </w:p>
        </w:tc>
        <w:tc>
          <w:tcPr>
            <w:tcW w:w="2800" w:type="dxa"/>
          </w:tcPr>
          <w:p w14:paraId="1BF702B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0,844</w:t>
            </w:r>
          </w:p>
        </w:tc>
      </w:tr>
      <w:tr w:rsidR="008F0FDF" w:rsidRPr="00F37F75" w14:paraId="04A60DFA" w14:textId="77777777" w:rsidTr="00476C30">
        <w:trPr>
          <w:jc w:val="center"/>
        </w:trPr>
        <w:tc>
          <w:tcPr>
            <w:tcW w:w="2200" w:type="dxa"/>
          </w:tcPr>
          <w:p w14:paraId="42E2377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p05</w:t>
            </w:r>
          </w:p>
        </w:tc>
        <w:tc>
          <w:tcPr>
            <w:tcW w:w="2600" w:type="dxa"/>
          </w:tcPr>
          <w:p w14:paraId="7B7629F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100 %</w:t>
            </w:r>
          </w:p>
        </w:tc>
        <w:tc>
          <w:tcPr>
            <w:tcW w:w="2800" w:type="dxa"/>
          </w:tcPr>
          <w:p w14:paraId="7F33E35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0,209</w:t>
            </w:r>
          </w:p>
        </w:tc>
      </w:tr>
    </w:tbl>
    <w:p w14:paraId="7172E34B" w14:textId="77777777" w:rsidR="008F0FDF" w:rsidRPr="00F37F75" w:rsidRDefault="008F0FDF" w:rsidP="00C615BF">
      <w:pPr>
        <w:spacing w:after="140"/>
        <w:jc w:val="both"/>
        <w:rPr>
          <w:rFonts w:ascii="Times New Roman" w:hAnsi="Times New Roman" w:cs="Times New Roman"/>
        </w:rPr>
      </w:pPr>
    </w:p>
    <w:p w14:paraId="5F86AC48"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5B99F9DD" wp14:editId="3D136F86">
            <wp:extent cx="4762500" cy="23812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381250"/>
                    </a:xfrm>
                    <a:prstGeom prst="rect">
                      <a:avLst/>
                    </a:prstGeom>
                  </pic:spPr>
                </pic:pic>
              </a:graphicData>
            </a:graphic>
          </wp:inline>
        </w:drawing>
      </w:r>
    </w:p>
    <w:p w14:paraId="4C8C1FB2" w14:textId="243CC6FC"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6 Probabilités prédites sur la cible prospective. p05, seul participant à présenter des épisodes, reçoit les probabilités les plus basses ; p03, qui n'en déclare aucun, les plus élevées.</w:t>
      </w:r>
    </w:p>
    <w:p w14:paraId="36A8CBD4" w14:textId="393F3EE8" w:rsidR="008F0FDF" w:rsidRPr="00F37F75" w:rsidRDefault="00AC71C1" w:rsidP="00C615BF">
      <w:pPr>
        <w:spacing w:after="140" w:line="276" w:lineRule="auto"/>
        <w:jc w:val="both"/>
        <w:rPr>
          <w:rFonts w:ascii="Times New Roman" w:hAnsi="Times New Roman" w:cs="Times New Roman"/>
        </w:rPr>
      </w:pPr>
      <w:r>
        <w:rPr>
          <w:rFonts w:ascii="Times New Roman" w:hAnsi="Times New Roman" w:cs="Times New Roman"/>
        </w:rPr>
        <w:t>Lors de la validation</w:t>
      </w:r>
      <w:r w:rsidR="00CA7CF3">
        <w:rPr>
          <w:rFonts w:ascii="Times New Roman" w:hAnsi="Times New Roman" w:cs="Times New Roman"/>
        </w:rPr>
        <w:t xml:space="preserve"> en</w:t>
      </w:r>
      <w:r>
        <w:rPr>
          <w:rFonts w:ascii="Times New Roman" w:hAnsi="Times New Roman" w:cs="Times New Roman"/>
        </w:rPr>
        <w:t xml:space="preserve"> LOPO, le modèle testé sur p05 a été entraîné sur deux sujets quasi exempts de blessures</w:t>
      </w:r>
      <w:r w:rsidR="008F0FDF" w:rsidRPr="00F37F75">
        <w:rPr>
          <w:rFonts w:ascii="Times New Roman" w:hAnsi="Times New Roman" w:cs="Times New Roman"/>
        </w:rPr>
        <w:t>. Il associe leurs profils d'activité à l'absence de blessure et attribue</w:t>
      </w:r>
      <w:r w:rsidR="00F40F92">
        <w:rPr>
          <w:rFonts w:ascii="Times New Roman" w:hAnsi="Times New Roman" w:cs="Times New Roman"/>
        </w:rPr>
        <w:t>, par contraste,</w:t>
      </w:r>
      <w:r w:rsidR="008F0FDF" w:rsidRPr="00F37F75">
        <w:rPr>
          <w:rFonts w:ascii="Times New Roman" w:hAnsi="Times New Roman" w:cs="Times New Roman"/>
        </w:rPr>
        <w:t xml:space="preserve"> </w:t>
      </w:r>
      <w:r w:rsidR="00D04DD6">
        <w:rPr>
          <w:rFonts w:ascii="Times New Roman" w:hAnsi="Times New Roman" w:cs="Times New Roman"/>
        </w:rPr>
        <w:t>de faibles probabilités</w:t>
      </w:r>
      <w:r w:rsidR="008F0FDF" w:rsidRPr="00F37F75">
        <w:rPr>
          <w:rFonts w:ascii="Times New Roman" w:hAnsi="Times New Roman" w:cs="Times New Roman"/>
        </w:rPr>
        <w:t xml:space="preserve"> au troisième</w:t>
      </w:r>
      <w:r w:rsidR="006B6D2B">
        <w:rPr>
          <w:rFonts w:ascii="Times New Roman" w:hAnsi="Times New Roman" w:cs="Times New Roman"/>
        </w:rPr>
        <w:t xml:space="preserve"> profil</w:t>
      </w:r>
      <w:r w:rsidR="00CA7CF3">
        <w:rPr>
          <w:rFonts w:ascii="Times New Roman" w:hAnsi="Times New Roman" w:cs="Times New Roman"/>
        </w:rPr>
        <w:t xml:space="preserve"> (Figure 6)</w:t>
      </w:r>
      <w:r w:rsidR="008F0FDF" w:rsidRPr="00F37F75">
        <w:rPr>
          <w:rFonts w:ascii="Times New Roman" w:hAnsi="Times New Roman" w:cs="Times New Roman"/>
        </w:rPr>
        <w:t>.</w:t>
      </w:r>
    </w:p>
    <w:p w14:paraId="11F82750" w14:textId="3C3025F2" w:rsidR="00F40F92"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volume d'alertes varie par ailleurs très peu </w:t>
      </w:r>
      <w:r w:rsidR="00AC71C1">
        <w:rPr>
          <w:rFonts w:ascii="Times New Roman" w:hAnsi="Times New Roman" w:cs="Times New Roman"/>
        </w:rPr>
        <w:t>en fonction du</w:t>
      </w:r>
      <w:r w:rsidRPr="00F37F75">
        <w:rPr>
          <w:rFonts w:ascii="Times New Roman" w:hAnsi="Times New Roman" w:cs="Times New Roman"/>
        </w:rPr>
        <w:t xml:space="preserve"> </w:t>
      </w:r>
      <w:r w:rsidR="00AC71C1" w:rsidRPr="00F37F75">
        <w:rPr>
          <w:rFonts w:ascii="Times New Roman" w:hAnsi="Times New Roman" w:cs="Times New Roman"/>
        </w:rPr>
        <w:t>seuil,</w:t>
      </w:r>
      <w:r w:rsidR="00AC71C1">
        <w:rPr>
          <w:rFonts w:ascii="Times New Roman" w:hAnsi="Times New Roman" w:cs="Times New Roman"/>
        </w:rPr>
        <w:t xml:space="preserve"> de 264 à 244,</w:t>
      </w:r>
      <w:r w:rsidRPr="00F37F75">
        <w:rPr>
          <w:rFonts w:ascii="Times New Roman" w:hAnsi="Times New Roman" w:cs="Times New Roman"/>
        </w:rPr>
        <w:t xml:space="preserve"> entre 0,2 et 0,7</w:t>
      </w:r>
      <w:r w:rsidR="00F40F92">
        <w:rPr>
          <w:rFonts w:ascii="Times New Roman" w:hAnsi="Times New Roman" w:cs="Times New Roman"/>
        </w:rPr>
        <w:t>.</w:t>
      </w:r>
    </w:p>
    <w:p w14:paraId="04A04788" w14:textId="537A90BE" w:rsidR="008F0FDF" w:rsidRPr="00F37F75" w:rsidRDefault="00F40F92" w:rsidP="00C615BF">
      <w:pPr>
        <w:spacing w:after="140" w:line="276" w:lineRule="auto"/>
        <w:jc w:val="both"/>
        <w:rPr>
          <w:rFonts w:ascii="Times New Roman" w:hAnsi="Times New Roman" w:cs="Times New Roman"/>
        </w:rPr>
      </w:pPr>
      <w:r>
        <w:rPr>
          <w:rFonts w:ascii="Times New Roman" w:hAnsi="Times New Roman" w:cs="Times New Roman"/>
        </w:rPr>
        <w:t>L</w:t>
      </w:r>
      <w:r w:rsidR="008F0FDF" w:rsidRPr="00F37F75">
        <w:rPr>
          <w:rFonts w:ascii="Times New Roman" w:hAnsi="Times New Roman" w:cs="Times New Roman"/>
        </w:rPr>
        <w:t xml:space="preserve">es probabilités étant concentrées </w:t>
      </w:r>
      <w:r>
        <w:rPr>
          <w:rFonts w:ascii="Times New Roman" w:hAnsi="Times New Roman" w:cs="Times New Roman"/>
        </w:rPr>
        <w:t>en</w:t>
      </w:r>
      <w:r w:rsidR="008F0FDF" w:rsidRPr="00F37F75">
        <w:rPr>
          <w:rFonts w:ascii="Times New Roman" w:hAnsi="Times New Roman" w:cs="Times New Roman"/>
        </w:rPr>
        <w:t xml:space="preserve"> haut de l'échelle. La précision reste à 0,10 quel que soit le seuil, contre une prévalence de 0,27</w:t>
      </w:r>
      <w:r w:rsidR="00CA7CF3">
        <w:rPr>
          <w:rFonts w:ascii="Times New Roman" w:hAnsi="Times New Roman" w:cs="Times New Roman"/>
        </w:rPr>
        <w:t>.</w:t>
      </w:r>
    </w:p>
    <w:p w14:paraId="13E4D2C6" w14:textId="593415D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La reformulation prospective ne résout donc pas le problème de fond : la cible reste portée par un seul participant, et p03 n'y contribue par aucun événement. Le modèle discrimine les individus, </w:t>
      </w:r>
      <w:r w:rsidR="00CF44F1" w:rsidRPr="00F37F75">
        <w:rPr>
          <w:rFonts w:ascii="Times New Roman" w:hAnsi="Times New Roman" w:cs="Times New Roman"/>
        </w:rPr>
        <w:t xml:space="preserve">et </w:t>
      </w:r>
      <w:r w:rsidRPr="00F37F75">
        <w:rPr>
          <w:rFonts w:ascii="Times New Roman" w:hAnsi="Times New Roman" w:cs="Times New Roman"/>
        </w:rPr>
        <w:t>non un état physiologique. Aucune métrique n'est interprétable.</w:t>
      </w:r>
    </w:p>
    <w:p w14:paraId="4C76A968" w14:textId="13B0DF5A"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Ces limites sont celles du domaine : les revues récentes identifient les effectifs réduits, les définitions hétérogènes de la blessure et l'absence de validation externe comme les faiblesses récurrentes des modèles publiés (Leckey et al., 2025). Le choix d'un modèle linéaire plutôt que d'une architecture complexe suit la même logique </w:t>
      </w:r>
      <w:r w:rsidR="00AC71C1">
        <w:rPr>
          <w:rFonts w:ascii="Times New Roman" w:hAnsi="Times New Roman" w:cs="Times New Roman"/>
        </w:rPr>
        <w:t>:</w:t>
      </w:r>
      <w:r w:rsidRPr="00F37F75">
        <w:rPr>
          <w:rFonts w:ascii="Times New Roman" w:hAnsi="Times New Roman" w:cs="Times New Roman"/>
        </w:rPr>
        <w:t xml:space="preserve"> l'avantage supposé des modèles sophistiqués n'est pas établi sur de petits effectifs déséquilibrés.</w:t>
      </w:r>
    </w:p>
    <w:p w14:paraId="2D701438" w14:textId="22FBF9A6" w:rsidR="00F40F92" w:rsidRPr="00F37F75" w:rsidRDefault="00AC71C1" w:rsidP="00C615BF">
      <w:pPr>
        <w:spacing w:after="140" w:line="276" w:lineRule="auto"/>
        <w:jc w:val="both"/>
        <w:rPr>
          <w:rFonts w:ascii="Times New Roman" w:hAnsi="Times New Roman" w:cs="Times New Roman"/>
        </w:rPr>
      </w:pPr>
      <w:r w:rsidRPr="00AC71C1">
        <w:rPr>
          <w:rFonts w:ascii="Times New Roman" w:hAnsi="Times New Roman" w:cs="Times New Roman"/>
          <w:b/>
          <w:bCs/>
          <w:u w:val="single"/>
        </w:rPr>
        <w:t xml:space="preserve">Piste selon </w:t>
      </w:r>
      <w:r>
        <w:rPr>
          <w:rFonts w:ascii="Times New Roman" w:hAnsi="Times New Roman" w:cs="Times New Roman"/>
          <w:b/>
          <w:bCs/>
          <w:u w:val="single"/>
        </w:rPr>
        <w:t xml:space="preserve">la </w:t>
      </w:r>
      <w:r w:rsidRPr="00AC71C1">
        <w:rPr>
          <w:rFonts w:ascii="Times New Roman" w:hAnsi="Times New Roman" w:cs="Times New Roman"/>
          <w:b/>
          <w:bCs/>
          <w:u w:val="single"/>
        </w:rPr>
        <w:t>littérature</w:t>
      </w:r>
      <w:r>
        <w:rPr>
          <w:rFonts w:ascii="Times New Roman" w:hAnsi="Times New Roman" w:cs="Times New Roman"/>
        </w:rPr>
        <w:t xml:space="preserve"> : </w:t>
      </w:r>
      <w:r w:rsidRPr="00AC71C1">
        <w:rPr>
          <w:rFonts w:ascii="Times New Roman" w:hAnsi="Times New Roman" w:cs="Times New Roman"/>
        </w:rPr>
        <w:t>Les foundation models tabulaires (TabPFN et dérivés) constituent une piste</w:t>
      </w:r>
      <w:r>
        <w:rPr>
          <w:rFonts w:ascii="Times New Roman" w:hAnsi="Times New Roman" w:cs="Times New Roman"/>
        </w:rPr>
        <w:t xml:space="preserve"> intéressante</w:t>
      </w:r>
      <w:r w:rsidRPr="00AC71C1">
        <w:rPr>
          <w:rFonts w:ascii="Times New Roman" w:hAnsi="Times New Roman" w:cs="Times New Roman"/>
        </w:rPr>
        <w:t xml:space="preserve"> sur de petits effectifs, régime où ils surpassent le gradient boosting</w:t>
      </w:r>
      <w:r>
        <w:rPr>
          <w:rFonts w:ascii="Times New Roman" w:hAnsi="Times New Roman" w:cs="Times New Roman"/>
        </w:rPr>
        <w:t xml:space="preserve"> </w:t>
      </w:r>
      <w:r w:rsidRPr="00AC71C1">
        <w:rPr>
          <w:rFonts w:ascii="Times New Roman" w:hAnsi="Times New Roman" w:cs="Times New Roman"/>
        </w:rPr>
        <w:t>dans les benchmarks récents. Ils n'ont pas été testés ici : la limitation tient à</w:t>
      </w:r>
      <w:r>
        <w:rPr>
          <w:rFonts w:ascii="Times New Roman" w:hAnsi="Times New Roman" w:cs="Times New Roman"/>
        </w:rPr>
        <w:t xml:space="preserve"> </w:t>
      </w:r>
      <w:r w:rsidRPr="00AC71C1">
        <w:rPr>
          <w:rFonts w:ascii="Times New Roman" w:hAnsi="Times New Roman" w:cs="Times New Roman"/>
        </w:rPr>
        <w:t xml:space="preserve">la structure de la cible, </w:t>
      </w:r>
      <w:r>
        <w:rPr>
          <w:rFonts w:ascii="Times New Roman" w:hAnsi="Times New Roman" w:cs="Times New Roman"/>
        </w:rPr>
        <w:t xml:space="preserve">et </w:t>
      </w:r>
      <w:r w:rsidRPr="00AC71C1">
        <w:rPr>
          <w:rFonts w:ascii="Times New Roman" w:hAnsi="Times New Roman" w:cs="Times New Roman"/>
        </w:rPr>
        <w:t>non au choix du modèle</w:t>
      </w:r>
      <w:r>
        <w:rPr>
          <w:rFonts w:ascii="Times New Roman" w:hAnsi="Times New Roman" w:cs="Times New Roman"/>
        </w:rPr>
        <w:t>.</w:t>
      </w:r>
    </w:p>
    <w:p w14:paraId="7F4DCC73" w14:textId="086DF878" w:rsidR="008F0FDF" w:rsidRPr="00F40F92" w:rsidRDefault="008F0FDF" w:rsidP="00C615BF">
      <w:pPr>
        <w:pStyle w:val="Titre1"/>
        <w:spacing w:before="320" w:after="180"/>
        <w:jc w:val="both"/>
        <w:rPr>
          <w:rFonts w:ascii="Times New Roman" w:hAnsi="Times New Roman" w:cs="Times New Roman"/>
          <w:b w:val="0"/>
          <w:bCs w:val="0"/>
          <w:color w:val="auto"/>
        </w:rPr>
      </w:pPr>
      <w:r w:rsidRPr="00F40F92">
        <w:rPr>
          <w:rFonts w:ascii="Times New Roman" w:hAnsi="Times New Roman" w:cs="Times New Roman"/>
          <w:b w:val="0"/>
          <w:bCs w:val="0"/>
          <w:color w:val="auto"/>
        </w:rPr>
        <w:t>Conclusion</w:t>
      </w:r>
    </w:p>
    <w:p w14:paraId="66A95787" w14:textId="68B5C6CC"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b/>
          <w:bCs/>
        </w:rPr>
        <w:t xml:space="preserve">Ce qui fonctionne. </w:t>
      </w:r>
      <w:r w:rsidRPr="00F37F75">
        <w:rPr>
          <w:rFonts w:ascii="Times New Roman" w:hAnsi="Times New Roman" w:cs="Times New Roman"/>
        </w:rPr>
        <w:t xml:space="preserve">L'agrégation des sources </w:t>
      </w:r>
      <w:r w:rsidR="00CF44F1" w:rsidRPr="00F37F75">
        <w:rPr>
          <w:rFonts w:ascii="Times New Roman" w:hAnsi="Times New Roman" w:cs="Times New Roman"/>
        </w:rPr>
        <w:t>par</w:t>
      </w:r>
      <w:r w:rsidRPr="00F37F75">
        <w:rPr>
          <w:rFonts w:ascii="Times New Roman" w:hAnsi="Times New Roman" w:cs="Times New Roman"/>
        </w:rPr>
        <w:t xml:space="preserve"> pas participant-jour produit une table exploitable de 456 lignes. L'indice de readiness</w:t>
      </w:r>
      <w:r w:rsidR="00CF44F1" w:rsidRPr="00F37F75">
        <w:rPr>
          <w:rFonts w:ascii="Times New Roman" w:hAnsi="Times New Roman" w:cs="Times New Roman"/>
        </w:rPr>
        <w:t>, construit à partir du questionnaire,</w:t>
      </w:r>
      <w:r w:rsidRPr="00F37F75">
        <w:rPr>
          <w:rFonts w:ascii="Times New Roman" w:hAnsi="Times New Roman" w:cs="Times New Roman"/>
        </w:rPr>
        <w:t xml:space="preserve"> est validé empiriquement (r = 0,66 avec la question directe).</w:t>
      </w:r>
    </w:p>
    <w:p w14:paraId="098FCAB6" w14:textId="20987453"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b/>
          <w:bCs/>
        </w:rPr>
        <w:t xml:space="preserve">Ce qui ne fonctionne pas. </w:t>
      </w:r>
      <w:r w:rsidRPr="00F37F75">
        <w:rPr>
          <w:rFonts w:ascii="Times New Roman" w:hAnsi="Times New Roman" w:cs="Times New Roman"/>
        </w:rPr>
        <w:t xml:space="preserve">La prédiction de blessure repose sur quatre épisodes distincts, aucun </w:t>
      </w:r>
      <w:r w:rsidR="00CF44F1" w:rsidRPr="00F37F75">
        <w:rPr>
          <w:rFonts w:ascii="Times New Roman" w:hAnsi="Times New Roman" w:cs="Times New Roman"/>
        </w:rPr>
        <w:t>d’entre eux n’étant de type de surcharge, et sur</w:t>
      </w:r>
      <w:r w:rsidRPr="00F37F75">
        <w:rPr>
          <w:rFonts w:ascii="Times New Roman" w:hAnsi="Times New Roman" w:cs="Times New Roman"/>
        </w:rPr>
        <w:t xml:space="preserve"> des protocoles de déclaration hétérogènes. Le modèle produit une ROC-AUC de 0,087 : il discrimine les individus, pas un état physiologique.</w:t>
      </w:r>
    </w:p>
    <w:p w14:paraId="6C605479" w14:textId="30FB19B6"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La prédiction de readiness ne dépasse </w:t>
      </w:r>
      <w:r w:rsidR="00CF44F1" w:rsidRPr="00F37F75">
        <w:rPr>
          <w:rFonts w:ascii="Times New Roman" w:hAnsi="Times New Roman" w:cs="Times New Roman"/>
        </w:rPr>
        <w:t xml:space="preserve">pas </w:t>
      </w:r>
      <w:r w:rsidRPr="00F37F75">
        <w:rPr>
          <w:rFonts w:ascii="Times New Roman" w:hAnsi="Times New Roman" w:cs="Times New Roman"/>
        </w:rPr>
        <w:t>la référence</w:t>
      </w:r>
      <w:r w:rsidR="00CF44F1" w:rsidRPr="00F37F75">
        <w:rPr>
          <w:rFonts w:ascii="Times New Roman" w:hAnsi="Times New Roman" w:cs="Times New Roman"/>
        </w:rPr>
        <w:t>, même en</w:t>
      </w:r>
      <w:r w:rsidRPr="00F37F75">
        <w:rPr>
          <w:rFonts w:ascii="Times New Roman" w:hAnsi="Times New Roman" w:cs="Times New Roman"/>
        </w:rPr>
        <w:t xml:space="preserve"> ajoutant l'état de la veille (R² = 0,029). Pour six variables sur dix, le signe de l'association s'inverse selon le participant : aucune relation n'est commune aux trois.</w:t>
      </w:r>
    </w:p>
    <w:p w14:paraId="28538235" w14:textId="645E30B8" w:rsidR="00CF44F1" w:rsidRPr="00F37F75" w:rsidRDefault="00D04DD6" w:rsidP="00C615BF">
      <w:pPr>
        <w:spacing w:after="140" w:line="276" w:lineRule="auto"/>
        <w:jc w:val="both"/>
        <w:rPr>
          <w:rFonts w:ascii="Times New Roman" w:hAnsi="Times New Roman" w:cs="Times New Roman"/>
        </w:rPr>
      </w:pPr>
      <w:r w:rsidRPr="006B6D2B">
        <w:rPr>
          <w:rFonts w:ascii="Times New Roman" w:hAnsi="Times New Roman" w:cs="Times New Roman"/>
          <w:b/>
          <w:bCs/>
        </w:rPr>
        <w:t>Ce qu'il faudrait</w:t>
      </w:r>
      <w:r w:rsidRPr="00D04DD6">
        <w:rPr>
          <w:rFonts w:ascii="Times New Roman" w:hAnsi="Times New Roman" w:cs="Times New Roman"/>
        </w:rPr>
        <w:t xml:space="preserve"> : un effectif permettant une validation crédible ; l'ordre de grandeur habituel est de 30 événements. Un protocole de déclaration homogène, imposant de renseigner tant l'absence de blessure que sa </w:t>
      </w:r>
      <w:r w:rsidRPr="00D04DD6">
        <w:rPr>
          <w:rFonts w:ascii="Times New Roman" w:hAnsi="Times New Roman" w:cs="Times New Roman"/>
        </w:rPr>
        <w:lastRenderedPageBreak/>
        <w:t>présence. Une distinction des mécanismes lésionnels : la charge d'entraînement ne permet d'approcher que les lésions de surcharge. Et une mesure de performance, absente ici, sans laquelle un indice construit sur des dimensions auto-déclarées ne peut être validé par rapport à un critère externe</w:t>
      </w:r>
    </w:p>
    <w:p w14:paraId="516313E8" w14:textId="60FF827F" w:rsidR="00CF44F1" w:rsidRPr="00FB77A6" w:rsidRDefault="00CF44F1" w:rsidP="00C615BF">
      <w:pPr>
        <w:spacing w:after="140" w:line="276" w:lineRule="auto"/>
        <w:jc w:val="both"/>
        <w:rPr>
          <w:rFonts w:ascii="Times New Roman" w:hAnsi="Times New Roman" w:cs="Times New Roman"/>
          <w:sz w:val="16"/>
          <w:szCs w:val="16"/>
        </w:rPr>
      </w:pPr>
    </w:p>
    <w:p w14:paraId="453E2C76" w14:textId="33543D75" w:rsidR="00CF44F1" w:rsidRPr="00FB77A6" w:rsidRDefault="00CF44F1" w:rsidP="00C615BF">
      <w:pPr>
        <w:pStyle w:val="Titre2"/>
        <w:jc w:val="both"/>
        <w:rPr>
          <w:rFonts w:ascii="Times New Roman" w:hAnsi="Times New Roman" w:cs="Times New Roman"/>
          <w:sz w:val="20"/>
          <w:szCs w:val="20"/>
        </w:rPr>
      </w:pPr>
      <w:r w:rsidRPr="00FB77A6">
        <w:rPr>
          <w:rFonts w:ascii="Times New Roman" w:hAnsi="Times New Roman" w:cs="Times New Roman"/>
          <w:sz w:val="20"/>
          <w:szCs w:val="20"/>
        </w:rPr>
        <w:t>Références</w:t>
      </w:r>
    </w:p>
    <w:p w14:paraId="792CEEA7" w14:textId="77777777" w:rsidR="001F0E97" w:rsidRPr="00FB77A6" w:rsidRDefault="001F0E97" w:rsidP="00C615BF">
      <w:pPr>
        <w:spacing w:after="90"/>
        <w:ind w:left="220"/>
        <w:jc w:val="both"/>
        <w:rPr>
          <w:rFonts w:ascii="Times New Roman" w:hAnsi="Times New Roman" w:cs="Times New Roman"/>
          <w:sz w:val="16"/>
          <w:szCs w:val="16"/>
        </w:rPr>
      </w:pPr>
    </w:p>
    <w:p w14:paraId="2BEB5561"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Benson L.C., Stilling C., Owoeye O.B., Emery C.A. (2021). Evaluating methods for imputing missing data from longitudinal monitoring of athlete workload. </w:t>
      </w:r>
      <w:r w:rsidRPr="00FB77A6">
        <w:rPr>
          <w:rFonts w:ascii="Times New Roman" w:hAnsi="Times New Roman" w:cs="Times New Roman"/>
          <w:sz w:val="16"/>
          <w:szCs w:val="16"/>
        </w:rPr>
        <w:t>Journal of Sports Science &amp; Medicine, 20(2), 188.</w:t>
      </w:r>
    </w:p>
    <w:p w14:paraId="7E3734DD"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rPr>
        <w:t xml:space="preserve">Chotwanvirat P., Prachansuwan A., Sridonpai P., Kriengsinyos W. (2024). </w:t>
      </w:r>
      <w:r w:rsidRPr="00FB77A6">
        <w:rPr>
          <w:rFonts w:ascii="Times New Roman" w:hAnsi="Times New Roman" w:cs="Times New Roman"/>
          <w:sz w:val="16"/>
          <w:szCs w:val="16"/>
          <w:lang w:val="en-CA"/>
        </w:rPr>
        <w:t xml:space="preserve">Advancements in Using AI for Dietary Assessment Based on Food Images: Scoping Review. </w:t>
      </w:r>
      <w:r w:rsidRPr="00FB77A6">
        <w:rPr>
          <w:rFonts w:ascii="Times New Roman" w:hAnsi="Times New Roman" w:cs="Times New Roman"/>
          <w:sz w:val="16"/>
          <w:szCs w:val="16"/>
        </w:rPr>
        <w:t>Journal of Medical Internet Research, 26, e51432.</w:t>
      </w:r>
    </w:p>
    <w:p w14:paraId="26F3FF31"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Fridolfsson J. et al. (2025). Evaluation of multimodal large language models for nutritional estimation from food images. </w:t>
      </w:r>
      <w:r w:rsidRPr="00FB77A6">
        <w:rPr>
          <w:rFonts w:ascii="Times New Roman" w:hAnsi="Times New Roman" w:cs="Times New Roman"/>
          <w:sz w:val="16"/>
          <w:szCs w:val="16"/>
        </w:rPr>
        <w:t>Current Developments in Nutrition.</w:t>
      </w:r>
    </w:p>
    <w:p w14:paraId="7991CCD8"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Hooper S.L., Mackinnon L.T. (1995). Monitoring overtraining in athletes. Recommendations. </w:t>
      </w:r>
      <w:r w:rsidRPr="00FB77A6">
        <w:rPr>
          <w:rFonts w:ascii="Times New Roman" w:hAnsi="Times New Roman" w:cs="Times New Roman"/>
          <w:sz w:val="16"/>
          <w:szCs w:val="16"/>
        </w:rPr>
        <w:t>Sports Medicine, 20(5), 321–327.</w:t>
      </w:r>
    </w:p>
    <w:p w14:paraId="696C76B3"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lang w:val="en-CA"/>
        </w:rPr>
      </w:pPr>
      <w:r w:rsidRPr="00FB77A6">
        <w:rPr>
          <w:rFonts w:ascii="Times New Roman" w:hAnsi="Times New Roman" w:cs="Times New Roman"/>
          <w:sz w:val="16"/>
          <w:szCs w:val="16"/>
          <w:lang w:val="en-CA"/>
        </w:rPr>
        <w:t>Impellizzeri F.M., Tenan M.S., Kempton T., Novak A., Coutts A.J. (2020). Acute:Chronic Workload Ratio: Conceptual Issues and Fundamental Pitfalls. International Journal of Sports Physiology and Performance, 15(6), 907–913.</w:t>
      </w:r>
    </w:p>
    <w:p w14:paraId="0112912A"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Janetzki S.J., Bourdon P.C., Burgess D.J., Barratt G.K., Bellenger C.R. (2023). Assessing athlete readiness using physical, physiological, and perceptual markers: A systematic review and meta-analysis. </w:t>
      </w:r>
      <w:r w:rsidRPr="00FB77A6">
        <w:rPr>
          <w:rFonts w:ascii="Times New Roman" w:hAnsi="Times New Roman" w:cs="Times New Roman"/>
          <w:sz w:val="16"/>
          <w:szCs w:val="16"/>
        </w:rPr>
        <w:t>Scientific Journal of Sport and Performance, 2(3), 339–380.</w:t>
      </w:r>
    </w:p>
    <w:p w14:paraId="4057AD75"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Kim Y.J., Kim S. (2020). Missing-Data Handling Methods for Lifelogs-Based Wellness Index Estimation: Comparative Analysis With Panel Data. </w:t>
      </w:r>
      <w:r w:rsidRPr="00FB77A6">
        <w:rPr>
          <w:rFonts w:ascii="Times New Roman" w:hAnsi="Times New Roman" w:cs="Times New Roman"/>
          <w:sz w:val="16"/>
          <w:szCs w:val="16"/>
        </w:rPr>
        <w:t>JMIR Medical Informatics.</w:t>
      </w:r>
    </w:p>
    <w:p w14:paraId="7EA639FE"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Leckey C., van Dyk N., Doherty C., Lawlor A., Delahunt E. (2025). Machine learning approaches to injury risk prediction in sport: a scoping review with evidence synthesis. </w:t>
      </w:r>
      <w:r w:rsidRPr="00FB77A6">
        <w:rPr>
          <w:rFonts w:ascii="Times New Roman" w:hAnsi="Times New Roman" w:cs="Times New Roman"/>
          <w:sz w:val="16"/>
          <w:szCs w:val="16"/>
        </w:rPr>
        <w:t>British Journal of Sports Medicine, 59(7), 491–500.</w:t>
      </w:r>
    </w:p>
    <w:p w14:paraId="4A0BBE6F"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Sansone P., Rago V., Kellmann M., Alcaraz P.E. (2023). Relationship Between Athlete-Reported Outcome Measures and Subsequent Match Performance in Team Sports: A Systematic Review. </w:t>
      </w:r>
      <w:r w:rsidRPr="00FB77A6">
        <w:rPr>
          <w:rFonts w:ascii="Times New Roman" w:hAnsi="Times New Roman" w:cs="Times New Roman"/>
          <w:sz w:val="16"/>
          <w:szCs w:val="16"/>
        </w:rPr>
        <w:t>Journal of Strength and Conditioning Research, 37(11), 2302–2313.</w:t>
      </w:r>
    </w:p>
    <w:p w14:paraId="14FDCABF" w14:textId="21571E5C" w:rsidR="002D1954" w:rsidRPr="006B6D2B" w:rsidRDefault="00CF44F1" w:rsidP="00C615BF">
      <w:pPr>
        <w:pStyle w:val="Paragraphedeliste"/>
        <w:numPr>
          <w:ilvl w:val="0"/>
          <w:numId w:val="2"/>
        </w:numPr>
        <w:spacing w:after="90"/>
        <w:jc w:val="both"/>
        <w:rPr>
          <w:rFonts w:ascii="Times New Roman" w:hAnsi="Times New Roman" w:cs="Times New Roman"/>
          <w:sz w:val="16"/>
          <w:szCs w:val="16"/>
          <w:lang w:val="en-CA"/>
        </w:rPr>
      </w:pPr>
      <w:r w:rsidRPr="00FB77A6">
        <w:rPr>
          <w:rFonts w:ascii="Times New Roman" w:hAnsi="Times New Roman" w:cs="Times New Roman"/>
          <w:sz w:val="16"/>
          <w:szCs w:val="16"/>
          <w:lang w:val="en-CA"/>
        </w:rPr>
        <w:t xml:space="preserve">Saw A.E., Main L.C., Gastin P.B. (2016). Monitoring the athlete training response: subjective self-reported measures trump commonly used objective measures: a systemat review. </w:t>
      </w:r>
      <w:r w:rsidRPr="006B6D2B">
        <w:rPr>
          <w:rFonts w:ascii="Times New Roman" w:hAnsi="Times New Roman" w:cs="Times New Roman"/>
          <w:sz w:val="16"/>
          <w:szCs w:val="16"/>
          <w:lang w:val="en-CA"/>
        </w:rPr>
        <w:t>British Journal of Sports Medicine, 50(5), 281–291.</w:t>
      </w:r>
    </w:p>
    <w:sectPr w:rsidR="002D1954" w:rsidRPr="006B6D2B">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215A84"/>
    <w:multiLevelType w:val="hybridMultilevel"/>
    <w:tmpl w:val="77D6E6E6"/>
    <w:lvl w:ilvl="0" w:tplc="C1A68BC0">
      <w:start w:val="1"/>
      <w:numFmt w:val="bullet"/>
      <w:lvlText w:val="•"/>
      <w:lvlJc w:val="left"/>
      <w:pPr>
        <w:ind w:left="460" w:hanging="240"/>
      </w:pPr>
    </w:lvl>
    <w:lvl w:ilvl="1" w:tplc="A75AAEDC">
      <w:numFmt w:val="decimal"/>
      <w:lvlText w:val=""/>
      <w:lvlJc w:val="left"/>
    </w:lvl>
    <w:lvl w:ilvl="2" w:tplc="BBDA4046">
      <w:numFmt w:val="decimal"/>
      <w:lvlText w:val=""/>
      <w:lvlJc w:val="left"/>
    </w:lvl>
    <w:lvl w:ilvl="3" w:tplc="332A5458">
      <w:numFmt w:val="decimal"/>
      <w:lvlText w:val=""/>
      <w:lvlJc w:val="left"/>
    </w:lvl>
    <w:lvl w:ilvl="4" w:tplc="2730B5A2">
      <w:numFmt w:val="decimal"/>
      <w:lvlText w:val=""/>
      <w:lvlJc w:val="left"/>
    </w:lvl>
    <w:lvl w:ilvl="5" w:tplc="9CD8A4DA">
      <w:numFmt w:val="decimal"/>
      <w:lvlText w:val=""/>
      <w:lvlJc w:val="left"/>
    </w:lvl>
    <w:lvl w:ilvl="6" w:tplc="C54A5F70">
      <w:numFmt w:val="decimal"/>
      <w:lvlText w:val=""/>
      <w:lvlJc w:val="left"/>
    </w:lvl>
    <w:lvl w:ilvl="7" w:tplc="B08ED2D2">
      <w:numFmt w:val="decimal"/>
      <w:lvlText w:val=""/>
      <w:lvlJc w:val="left"/>
    </w:lvl>
    <w:lvl w:ilvl="8" w:tplc="7756A0E2">
      <w:numFmt w:val="decimal"/>
      <w:lvlText w:val=""/>
      <w:lvlJc w:val="left"/>
    </w:lvl>
  </w:abstractNum>
  <w:abstractNum w:abstractNumId="1" w15:restartNumberingAfterBreak="0">
    <w:nsid w:val="31507C9B"/>
    <w:multiLevelType w:val="hybridMultilevel"/>
    <w:tmpl w:val="7AD01C8C"/>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312525E"/>
    <w:multiLevelType w:val="hybridMultilevel"/>
    <w:tmpl w:val="3E76A88A"/>
    <w:lvl w:ilvl="0" w:tplc="3AA2CACC">
      <w:start w:val="1"/>
      <w:numFmt w:val="decimal"/>
      <w:lvlText w:val="%1."/>
      <w:lvlJc w:val="left"/>
      <w:pPr>
        <w:ind w:left="460" w:hanging="240"/>
      </w:pPr>
    </w:lvl>
    <w:lvl w:ilvl="1" w:tplc="791EF3EC">
      <w:numFmt w:val="decimal"/>
      <w:lvlText w:val=""/>
      <w:lvlJc w:val="left"/>
    </w:lvl>
    <w:lvl w:ilvl="2" w:tplc="3C6ECE96">
      <w:numFmt w:val="decimal"/>
      <w:lvlText w:val=""/>
      <w:lvlJc w:val="left"/>
    </w:lvl>
    <w:lvl w:ilvl="3" w:tplc="E9D2A3B4">
      <w:numFmt w:val="decimal"/>
      <w:lvlText w:val=""/>
      <w:lvlJc w:val="left"/>
    </w:lvl>
    <w:lvl w:ilvl="4" w:tplc="B82A9644">
      <w:numFmt w:val="decimal"/>
      <w:lvlText w:val=""/>
      <w:lvlJc w:val="left"/>
    </w:lvl>
    <w:lvl w:ilvl="5" w:tplc="5318277A">
      <w:numFmt w:val="decimal"/>
      <w:lvlText w:val=""/>
      <w:lvlJc w:val="left"/>
    </w:lvl>
    <w:lvl w:ilvl="6" w:tplc="FF54D968">
      <w:numFmt w:val="decimal"/>
      <w:lvlText w:val=""/>
      <w:lvlJc w:val="left"/>
    </w:lvl>
    <w:lvl w:ilvl="7" w:tplc="0F3E0AD8">
      <w:numFmt w:val="decimal"/>
      <w:lvlText w:val=""/>
      <w:lvlJc w:val="left"/>
    </w:lvl>
    <w:lvl w:ilvl="8" w:tplc="6ACEF91A">
      <w:numFmt w:val="decimal"/>
      <w:lvlText w:val=""/>
      <w:lvlJc w:val="left"/>
    </w:lvl>
  </w:abstractNum>
  <w:abstractNum w:abstractNumId="3" w15:restartNumberingAfterBreak="0">
    <w:nsid w:val="522A5F35"/>
    <w:multiLevelType w:val="hybridMultilevel"/>
    <w:tmpl w:val="78189104"/>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390910"/>
    <w:multiLevelType w:val="hybridMultilevel"/>
    <w:tmpl w:val="CB201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5536D7"/>
    <w:multiLevelType w:val="hybridMultilevel"/>
    <w:tmpl w:val="27A073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4"/>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FDF"/>
    <w:rsid w:val="001F0E97"/>
    <w:rsid w:val="002844B7"/>
    <w:rsid w:val="002D1954"/>
    <w:rsid w:val="003F0CF2"/>
    <w:rsid w:val="00476C30"/>
    <w:rsid w:val="004B4282"/>
    <w:rsid w:val="006B6D2B"/>
    <w:rsid w:val="00817545"/>
    <w:rsid w:val="008F0FDF"/>
    <w:rsid w:val="009749CB"/>
    <w:rsid w:val="00A01047"/>
    <w:rsid w:val="00AB1141"/>
    <w:rsid w:val="00AC71C1"/>
    <w:rsid w:val="00C615BF"/>
    <w:rsid w:val="00CA7CF3"/>
    <w:rsid w:val="00CB3CE0"/>
    <w:rsid w:val="00CF44F1"/>
    <w:rsid w:val="00D04DD6"/>
    <w:rsid w:val="00DB62DA"/>
    <w:rsid w:val="00DF6989"/>
    <w:rsid w:val="00F026B4"/>
    <w:rsid w:val="00F37F75"/>
    <w:rsid w:val="00F40F92"/>
    <w:rsid w:val="00FB7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49C7F"/>
  <w15:chartTrackingRefBased/>
  <w15:docId w15:val="{E04F490D-9307-4703-A541-6F8AF02DF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FDF"/>
    <w:pPr>
      <w:spacing w:after="0" w:line="240" w:lineRule="auto"/>
    </w:pPr>
    <w:rPr>
      <w:rFonts w:ascii="Calibri" w:eastAsia="Calibri" w:hAnsi="Calibri" w:cs="Calibri"/>
      <w:lang w:eastAsia="fr-FR"/>
    </w:rPr>
  </w:style>
  <w:style w:type="paragraph" w:styleId="Titre1">
    <w:name w:val="heading 1"/>
    <w:link w:val="Titre1Car"/>
    <w:uiPriority w:val="9"/>
    <w:qFormat/>
    <w:rsid w:val="008F0FDF"/>
    <w:pPr>
      <w:spacing w:after="0" w:line="240" w:lineRule="auto"/>
      <w:outlineLvl w:val="0"/>
    </w:pPr>
    <w:rPr>
      <w:rFonts w:ascii="Calibri" w:eastAsia="Calibri" w:hAnsi="Calibri" w:cs="Calibri"/>
      <w:b/>
      <w:bCs/>
      <w:color w:val="1F3864"/>
      <w:sz w:val="32"/>
      <w:szCs w:val="32"/>
      <w:lang w:eastAsia="fr-FR"/>
    </w:rPr>
  </w:style>
  <w:style w:type="paragraph" w:styleId="Titre2">
    <w:name w:val="heading 2"/>
    <w:link w:val="Titre2Car"/>
    <w:uiPriority w:val="9"/>
    <w:unhideWhenUsed/>
    <w:qFormat/>
    <w:rsid w:val="00C615BF"/>
    <w:pPr>
      <w:spacing w:after="0" w:line="240" w:lineRule="auto"/>
      <w:outlineLvl w:val="1"/>
    </w:pPr>
    <w:rPr>
      <w:rFonts w:ascii="Calibri" w:eastAsia="Calibri" w:hAnsi="Calibri" w:cs="Calibri"/>
      <w:b/>
      <w:bCs/>
      <w:color w:val="000000" w:themeColor="text1"/>
      <w:sz w:val="26"/>
      <w:szCs w:val="26"/>
      <w:lang w:eastAsia="fr-FR"/>
    </w:rPr>
  </w:style>
  <w:style w:type="paragraph" w:styleId="Titre3">
    <w:name w:val="heading 3"/>
    <w:basedOn w:val="Normal"/>
    <w:next w:val="Normal"/>
    <w:link w:val="Titre3Car"/>
    <w:uiPriority w:val="9"/>
    <w:unhideWhenUsed/>
    <w:qFormat/>
    <w:rsid w:val="00A010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0FDF"/>
    <w:rPr>
      <w:rFonts w:ascii="Calibri" w:eastAsia="Calibri" w:hAnsi="Calibri" w:cs="Calibri"/>
      <w:b/>
      <w:bCs/>
      <w:color w:val="1F3864"/>
      <w:sz w:val="32"/>
      <w:szCs w:val="32"/>
      <w:lang w:eastAsia="fr-FR"/>
    </w:rPr>
  </w:style>
  <w:style w:type="character" w:customStyle="1" w:styleId="Titre2Car">
    <w:name w:val="Titre 2 Car"/>
    <w:basedOn w:val="Policepardfaut"/>
    <w:link w:val="Titre2"/>
    <w:uiPriority w:val="9"/>
    <w:rsid w:val="00C615BF"/>
    <w:rPr>
      <w:rFonts w:ascii="Calibri" w:eastAsia="Calibri" w:hAnsi="Calibri" w:cs="Calibri"/>
      <w:b/>
      <w:bCs/>
      <w:color w:val="000000" w:themeColor="text1"/>
      <w:sz w:val="26"/>
      <w:szCs w:val="26"/>
      <w:lang w:eastAsia="fr-FR"/>
    </w:rPr>
  </w:style>
  <w:style w:type="paragraph" w:styleId="Paragraphedeliste">
    <w:name w:val="List Paragraph"/>
    <w:qFormat/>
    <w:rsid w:val="008F0FDF"/>
    <w:pPr>
      <w:spacing w:after="0" w:line="240" w:lineRule="auto"/>
    </w:pPr>
    <w:rPr>
      <w:rFonts w:ascii="Calibri" w:eastAsia="Calibri" w:hAnsi="Calibri" w:cs="Calibri"/>
      <w:lang w:eastAsia="fr-FR"/>
    </w:rPr>
  </w:style>
  <w:style w:type="table" w:styleId="Tableausimple2">
    <w:name w:val="Plain Table 2"/>
    <w:basedOn w:val="TableauNormal"/>
    <w:uiPriority w:val="42"/>
    <w:rsid w:val="00CF44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lledetableauclaire">
    <w:name w:val="Grid Table Light"/>
    <w:basedOn w:val="TableauNormal"/>
    <w:uiPriority w:val="40"/>
    <w:rsid w:val="00CF44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476C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utableau">
    <w:name w:val="Table Grid"/>
    <w:basedOn w:val="TableauNormal"/>
    <w:uiPriority w:val="39"/>
    <w:rsid w:val="00476C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01047"/>
    <w:rPr>
      <w:rFonts w:asciiTheme="majorHAnsi" w:eastAsiaTheme="majorEastAsia" w:hAnsiTheme="majorHAnsi" w:cstheme="majorBidi"/>
      <w:color w:val="1F3763" w:themeColor="accent1" w:themeShade="7F"/>
      <w:sz w:val="24"/>
      <w:szCs w:val="24"/>
      <w:lang w:eastAsia="fr-FR"/>
    </w:rPr>
  </w:style>
  <w:style w:type="paragraph" w:styleId="Lgende">
    <w:name w:val="caption"/>
    <w:basedOn w:val="Normal"/>
    <w:next w:val="Normal"/>
    <w:uiPriority w:val="35"/>
    <w:unhideWhenUsed/>
    <w:qFormat/>
    <w:rsid w:val="00D04DD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593042">
      <w:bodyDiv w:val="1"/>
      <w:marLeft w:val="0"/>
      <w:marRight w:val="0"/>
      <w:marTop w:val="0"/>
      <w:marBottom w:val="0"/>
      <w:divBdr>
        <w:top w:val="none" w:sz="0" w:space="0" w:color="auto"/>
        <w:left w:val="none" w:sz="0" w:space="0" w:color="auto"/>
        <w:bottom w:val="none" w:sz="0" w:space="0" w:color="auto"/>
        <w:right w:val="none" w:sz="0" w:space="0" w:color="auto"/>
      </w:divBdr>
      <w:divsChild>
        <w:div w:id="2133328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0653437">
      <w:bodyDiv w:val="1"/>
      <w:marLeft w:val="0"/>
      <w:marRight w:val="0"/>
      <w:marTop w:val="0"/>
      <w:marBottom w:val="0"/>
      <w:divBdr>
        <w:top w:val="none" w:sz="0" w:space="0" w:color="auto"/>
        <w:left w:val="none" w:sz="0" w:space="0" w:color="auto"/>
        <w:bottom w:val="none" w:sz="0" w:space="0" w:color="auto"/>
        <w:right w:val="none" w:sz="0" w:space="0" w:color="auto"/>
      </w:divBdr>
      <w:divsChild>
        <w:div w:id="3686506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4296</Words>
  <Characters>23634</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ghiattka</dc:creator>
  <cp:keywords/>
  <dc:description/>
  <cp:lastModifiedBy>ghiattka</cp:lastModifiedBy>
  <cp:revision>3</cp:revision>
  <cp:lastPrinted>2026-09-16T13:59:00Z</cp:lastPrinted>
  <dcterms:created xsi:type="dcterms:W3CDTF">2026-09-16T13:58:00Z</dcterms:created>
  <dcterms:modified xsi:type="dcterms:W3CDTF">2026-09-16T13:59:00Z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46a2fb5f-cc69-4c11-8d92-d05edc85fa17</vt:lpwstr>
  </property>
  <property fmtid="{D5CDD505-2E9C-101B-9397-08002B2CF9AE}" pid="3" name="ZOTERO_PREF_1">
    <vt:lpwstr>&lt;data data-version="3" zotero-version="9.0.6"&gt;&lt;session id="oqFqNFBI"/&gt;&lt;style id="http://www.zotero.org/styles/ieee" locale="fr-FR"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