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05E8F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AE07F13">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eastAsiaTheme="minorEastAsia"/>
                <w:sz w:val="20"/>
                <w:szCs w:val="20"/>
                <w:lang w:val="en-US" w:eastAsia="zh-CN"/>
              </w:rPr>
            </w:pPr>
            <w:r>
              <w:rPr>
                <w:rFonts w:hint="eastAsia"/>
                <w:sz w:val="20"/>
                <w:szCs w:val="20"/>
                <w:lang w:val="en-US" w:eastAsia="zh-CN"/>
              </w:rPr>
              <w:t>LIRA简介</w:t>
            </w:r>
          </w:p>
          <w:p w14:paraId="2CCF116C">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p>
        </w:tc>
        <w:tc>
          <w:tcPr>
            <w:tcW w:w="2841" w:type="dxa"/>
          </w:tcPr>
          <w:p w14:paraId="26C2F0A8">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File Reference: ENV-734-91</w:t>
            </w:r>
          </w:p>
          <w:p w14:paraId="3085ADB8">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CONFIDENTIAL｜Not for External Distribution</w:t>
            </w:r>
          </w:p>
          <w:p w14:paraId="6AB26CAF">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Subject: Re: Request for modification of domestic horticulture automation units</w:t>
            </w:r>
          </w:p>
          <w:p w14:paraId="7EDDD3A1">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To: Governing Environmental Authority</w:t>
            </w:r>
          </w:p>
          <w:p w14:paraId="427CDE73">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From: Aetheris Dynamics R&amp;D</w:t>
            </w:r>
          </w:p>
          <w:p w14:paraId="5BEC5ECD">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r>
              <w:rPr>
                <w:rFonts w:hint="eastAsia"/>
                <w:sz w:val="20"/>
                <w:szCs w:val="20"/>
                <w:vertAlign w:val="baseline"/>
              </w:rPr>
              <w:t>We have reviewed your request. Our unreleased internal project LIRA (Landscape &amp; Interface Regeneration Assistant) already meets these specifications. The unit’s core programming carries out environmental reconstruction to sustain human settlement. Demolition subroutines remain secured, and will only activate after positive verification that a structure is fully derelict, unoccupied, and nonessential to surviving human communities. Full deployment awaits final regulatory sign-off.</w:t>
            </w:r>
          </w:p>
        </w:tc>
        <w:tc>
          <w:tcPr>
            <w:tcW w:w="2841" w:type="dxa"/>
          </w:tcPr>
          <w:p w14:paraId="25B1614A">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档案编号：ENV-734-91</w:t>
            </w:r>
          </w:p>
          <w:p w14:paraId="6F90EC5F">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机密｜禁止对外传阅</w:t>
            </w:r>
          </w:p>
          <w:p w14:paraId="26B63CED">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主题：回复：</w:t>
            </w:r>
            <w:r>
              <w:rPr>
                <w:rFonts w:hint="eastAsia"/>
                <w:sz w:val="20"/>
                <w:szCs w:val="20"/>
                <w:vertAlign w:val="baseline"/>
                <w:lang w:val="en-US" w:eastAsia="zh-CN"/>
              </w:rPr>
              <w:t>家用</w:t>
            </w:r>
            <w:bookmarkStart w:id="0" w:name="_GoBack"/>
            <w:bookmarkEnd w:id="0"/>
            <w:r>
              <w:rPr>
                <w:rFonts w:hint="eastAsia"/>
                <w:sz w:val="20"/>
                <w:szCs w:val="20"/>
                <w:vertAlign w:val="baseline"/>
              </w:rPr>
              <w:t>园艺自动化</w:t>
            </w:r>
            <w:r>
              <w:rPr>
                <w:rFonts w:hint="eastAsia"/>
                <w:sz w:val="20"/>
                <w:szCs w:val="20"/>
                <w:vertAlign w:val="baseline"/>
                <w:lang w:val="en-US" w:eastAsia="zh-CN"/>
              </w:rPr>
              <w:t>单元</w:t>
            </w:r>
            <w:r>
              <w:rPr>
                <w:rFonts w:hint="eastAsia"/>
                <w:sz w:val="20"/>
                <w:szCs w:val="20"/>
                <w:vertAlign w:val="baseline"/>
              </w:rPr>
              <w:t>复用改造申请</w:t>
            </w:r>
          </w:p>
          <w:p w14:paraId="410E9EFD">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收件：环境主管机构</w:t>
            </w:r>
          </w:p>
          <w:p w14:paraId="61E69FD4">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rFonts w:hint="eastAsia"/>
                <w:sz w:val="20"/>
                <w:szCs w:val="20"/>
                <w:vertAlign w:val="baseline"/>
              </w:rPr>
            </w:pPr>
            <w:r>
              <w:rPr>
                <w:rFonts w:hint="eastAsia"/>
                <w:sz w:val="20"/>
                <w:szCs w:val="20"/>
                <w:vertAlign w:val="baseline"/>
              </w:rPr>
              <w:t>发件：以太动力研发部</w:t>
            </w:r>
          </w:p>
          <w:p w14:paraId="2A50E780">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r>
              <w:rPr>
                <w:rFonts w:hint="eastAsia"/>
                <w:sz w:val="20"/>
                <w:szCs w:val="20"/>
                <w:vertAlign w:val="baseline"/>
              </w:rPr>
              <w:t>我方已审阅该申请。尚未对外公布的内部项目 LIRA（地貌与生态界面再生助理）已满足上述全部要求。单元核心程序以环境重构为手段，维系人类聚居生存。拆除子程序处于锁定状态，仅在确认建筑完全废弃、无人占用、对残存人类社群无存续价值后方可启用。全面部署尚待监管机构最终批复。</w:t>
            </w:r>
          </w:p>
        </w:tc>
      </w:tr>
      <w:tr w14:paraId="4559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BC9CAA6">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p>
        </w:tc>
        <w:tc>
          <w:tcPr>
            <w:tcW w:w="2841" w:type="dxa"/>
          </w:tcPr>
          <w:p w14:paraId="4E94F890">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p>
        </w:tc>
        <w:tc>
          <w:tcPr>
            <w:tcW w:w="2841" w:type="dxa"/>
          </w:tcPr>
          <w:p w14:paraId="2610E059">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p>
        </w:tc>
      </w:tr>
      <w:tr w14:paraId="03A5E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73812F3">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p>
        </w:tc>
        <w:tc>
          <w:tcPr>
            <w:tcW w:w="2841" w:type="dxa"/>
          </w:tcPr>
          <w:p w14:paraId="756F98A3">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p>
        </w:tc>
        <w:tc>
          <w:tcPr>
            <w:tcW w:w="2841" w:type="dxa"/>
          </w:tcPr>
          <w:p w14:paraId="3F6C86A5">
            <w:pPr>
              <w:pStyle w:val="2"/>
              <w:keepNext w:val="0"/>
              <w:keepLines w:val="0"/>
              <w:pageBreakBefore w:val="0"/>
              <w:widowControl/>
              <w:suppressLineNumbers w:val="0"/>
              <w:kinsoku/>
              <w:wordWrap/>
              <w:overflowPunct/>
              <w:topLinePunct w:val="0"/>
              <w:autoSpaceDE/>
              <w:autoSpaceDN/>
              <w:bidi w:val="0"/>
              <w:adjustRightInd/>
              <w:snapToGrid/>
              <w:spacing w:line="200" w:lineRule="exact"/>
              <w:textAlignment w:val="auto"/>
              <w:rPr>
                <w:sz w:val="20"/>
                <w:szCs w:val="20"/>
                <w:vertAlign w:val="baseline"/>
              </w:rPr>
            </w:pPr>
          </w:p>
        </w:tc>
      </w:tr>
    </w:tbl>
    <w:p w14:paraId="349F9258">
      <w:pPr>
        <w:pStyle w:val="2"/>
        <w:keepNext w:val="0"/>
        <w:keepLines w:val="0"/>
        <w:widowControl/>
        <w:suppressLineNumbers w:val="0"/>
      </w:pPr>
    </w:p>
    <w:p w14:paraId="5D725A21"/>
    <w:p w14:paraId="250B3D75"/>
    <w:p w14:paraId="436EDE8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7E15995"/>
    <w:rsid w:val="2D751C91"/>
    <w:rsid w:val="34BB27AB"/>
    <w:rsid w:val="5D3D1F1F"/>
    <w:rsid w:val="6E263D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2026-10-06T02:20:45Z</dcterms:created>
  <dc:creator>Sol</dc:creator>
  <cp:lastModifiedBy>Solomon</cp:lastModifiedBy>
  <dcterms:modified xsi:type="dcterms:W3CDTF">2026-10-06T02:32:45Z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eyJoZGlkIjoiODhmMDNkZjRkZWM0OTgwMTU3YjFhNTEzZGEzZmNjOGEiLCJ1c2VySWQiOiI3Njc5MTIyODcifQ==</vt:lpwstr>
  </property>
  <property fmtid="{D5CDD505-2E9C-101B-9397-08002B2CF9AE}" pid="4" name="ICV">
    <vt:lpwstr>6B7F6EFAD4A04191BAC7C4413229A221_12</vt:lpwstr>
  </property>
</Properties>
</file>