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Times New Roman" w:cs="Times New Roman" w:eastAsia="Times New Roman" w:hAnsi="Times New Roman"/>
          <w:b/>
          <w:bCs/>
          <w:color w:val="003366"/>
          <w:sz w:val="36"/>
          <w:szCs w:val="36"/>
        </w:rPr>
        <w:t xml:space="preserve">ZENVY: AN INTELLIGENT PEER-TO-PEER COLLABORATIVE STUDY PLATFORM WITH MULTI-FACTOR COMPATIBILITY MATCHING AND REAL-TIME SYNCHRONIZATION</w:t>
      </w:r>
    </w:p>
    <w:p>
      <w:pPr>
        <w:spacing w:after="200"/>
        <w:jc w:val="center"/>
      </w:pPr>
      <w:r>
        <w:rPr>
          <w:rFonts w:ascii="Times New Roman" w:cs="Times New Roman" w:eastAsia="Times New Roman" w:hAnsi="Times New Roman"/>
          <w:b w:val="false"/>
          <w:bCs w:val="false"/>
          <w:i/>
          <w:iCs/>
          <w:color w:val="555555"/>
          <w:sz w:val="24"/>
          <w:szCs w:val="24"/>
        </w:rPr>
        <w:t xml:space="preserve">A Full-Stack Architectural and Algorithmic Project Proposal</w:t>
      </w:r>
    </w:p>
    <w:p>
      <w:pPr>
        <w:spacing w:after="360"/>
        <w:jc w:val="center"/>
      </w:pPr>
      <w:r>
        <w:rPr>
          <w:rFonts w:ascii="Times New Roman" w:cs="Times New Roman" w:eastAsia="Times New Roman" w:hAnsi="Times New Roman"/>
          <w:b/>
          <w:bCs/>
          <w:sz w:val="22"/>
          <w:szCs w:val="22"/>
        </w:rPr>
        <w:t xml:space="preserve">Project Proposal &amp; Technical Abstract | IEEE Format Specification
</w:t>
      </w:r>
      <w:r>
        <w:rPr>
          <w:rFonts w:ascii="Times New Roman" w:cs="Times New Roman" w:eastAsia="Times New Roman" w:hAnsi="Times New Roman"/>
          <w:sz w:val="20"/>
          <w:szCs w:val="20"/>
        </w:rPr>
        <w:t xml:space="preserve">Department of Computer Science &amp; Engineering
</w:t>
      </w:r>
      <w:r>
        <w:rPr>
          <w:rFonts w:ascii="Times New Roman" w:cs="Times New Roman" w:eastAsia="Times New Roman" w:hAnsi="Times New Roman"/>
          <w:i/>
          <w:iCs/>
          <w:color w:val="555555"/>
          <w:sz w:val="20"/>
          <w:szCs w:val="20"/>
        </w:rPr>
        <w:t xml:space="preserve">Zenvy Development Team — Smart Peer-to-Peer Study Platform Project</w:t>
      </w:r>
    </w:p>
    <w:p>
      <w:pPr>
        <w:spacing w:after="140" w:before="140" w:line="260"/>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b w:val="false"/>
          <w:bCs w:val="false"/>
          <w:sz w:val="20"/>
          <w:szCs w:val="20"/>
        </w:rPr>
        <w:t xml:space="preserve">In modern higher education, students frequently face academic isolation, fragmented collaborative toolsets, and high friction in discovering compatible study partners. Existing digital solutions either function as generic social messengers without educational context or as static learning management systems lacking peer discovery, synchronous interaction, and focus mechanics. This project proposes Zenvy, a high-performance, intelligent peer-to-peer collaborative study platform designed to bridge academic divides through real-time communication, heuristic partner matching, collaborative study groups, and gamified focus tracking. Built upon Next.js 15 App Router, Node.js, Prisma ORM, and PostgreSQL, Zenvy integrates WebRTC and LiveKit for zero-latency peer-to-peer audio/video calling alongside Socket.io for bidirectional signaling and real-time state synchronization. A multi-attribute discovery algorithm calculates academic synergy scores across academic majors, shared subject interests, availability schedules, institutional affiliation, and semester standing. Furthermore, the platform incorporates synchronized Pomodoro study sessions, dynamic 28-day activity heatmaps, experience point (XP) level progression, and robust privacy controls with automatic hardware release mechanisms. This document presents the comprehensive IEEE-standard project proposal, detailing the theoretical problem statement, system architecture, mathematical matching formulations, modular feature breakdown, technical implementation specifications, developmental timeline, and expected academic and socio-cognitive impacts.</w:t>
      </w:r>
    </w:p>
    <w:p>
      <w:pPr>
        <w:spacing w:after="300" w:before="80" w:line="260"/>
        <w:jc w:val="both"/>
      </w:pPr>
      <w:r>
        <w:rPr>
          <w:rFonts w:ascii="Times New Roman" w:cs="Times New Roman" w:eastAsia="Times New Roman" w:hAnsi="Times New Roman"/>
          <w:b/>
          <w:bCs/>
          <w:i/>
          <w:iCs/>
          <w:sz w:val="20"/>
          <w:szCs w:val="20"/>
        </w:rPr>
        <w:t xml:space="preserve">Index Terms—</w:t>
      </w:r>
      <w:r>
        <w:rPr>
          <w:rFonts w:ascii="Times New Roman" w:cs="Times New Roman" w:eastAsia="Times New Roman" w:hAnsi="Times New Roman"/>
          <w:i/>
          <w:iCs/>
          <w:sz w:val="20"/>
          <w:szCs w:val="20"/>
        </w:rPr>
        <w:t xml:space="preserve">Peer-to-Peer Collaborative Learning, Multi-Factor Compatibility Matching, WebRTC Video Conferencing, Real-Time WebSocket Signaling, Gamified Learning Analytics, Full-Stack Educational Technology (EdTech)</w:t>
      </w:r>
    </w:p>
    <w:p>
      <w:pPr>
        <w:pStyle w:val="Heading1"/>
        <w:spacing w:after="120" w:before="300"/>
      </w:pPr>
      <w:r>
        <w:rPr>
          <w:rFonts w:ascii="Times New Roman" w:cs="Times New Roman" w:eastAsia="Times New Roman" w:hAnsi="Times New Roman"/>
          <w:b/>
          <w:bCs/>
          <w:color w:val="003366"/>
          <w:sz w:val="24"/>
          <w:szCs w:val="24"/>
        </w:rPr>
        <w:t xml:space="preserve">I. INTRODUCTION</w:t>
      </w:r>
    </w:p>
    <w:p>
      <w:pPr>
        <w:spacing w:after="120" w:before="60" w:line="276"/>
        <w:jc w:val="both"/>
      </w:pPr>
      <w:r>
        <w:rPr>
          <w:rFonts w:ascii="Times New Roman" w:cs="Times New Roman" w:eastAsia="Times New Roman" w:hAnsi="Times New Roman"/>
          <w:color w:val="222222"/>
          <w:sz w:val="20"/>
          <w:szCs w:val="20"/>
        </w:rPr>
        <w:t xml:space="preserve">The rapid transformation of higher education toward distributed, digital, and hybrid learning models has highlighted the critical role of peer-to-peer (P2P) academic collaboration. Decades of pedagogical research affirm that collaborative learning significantly enhances cognitive retention, critical thinking, and psychological well-being among university students. However, modern learners face unprecedented digital fragmentation: they are forced to juggle disparate platforms—generic instant messengers for coordination, isolated video conferencing tools for meetings, independent timer applications for productivity, and static learning management systems (LMS) for course materials.</w:t>
      </w:r>
    </w:p>
    <w:p>
      <w:pPr>
        <w:spacing w:after="120" w:before="60" w:line="276"/>
        <w:jc w:val="both"/>
      </w:pPr>
      <w:r>
        <w:rPr>
          <w:rFonts w:ascii="Times New Roman" w:cs="Times New Roman" w:eastAsia="Times New Roman" w:hAnsi="Times New Roman"/>
          <w:color w:val="222222"/>
          <w:sz w:val="20"/>
          <w:szCs w:val="20"/>
        </w:rPr>
        <w:t xml:space="preserve">Generic communication tools (e.g., WhatsApp, Discord, Slack) lack structured academic taxonomies, intelligent synergy scoring, and integrated study management capabilities. Consequently, students often struggle to find peers who share identical courses, complementary study habits, and synchronized schedules. Zenvy is engineered as an end-to-end, domain-specific academic ecosystem that unifies real-time WebRTC audio/video communication, deterministic multi-factor partner recommendation algorithms, persistent topic channels, collaborative resource repositories, and gamified focus tracking into a unified, responsive web platform.</w:t>
      </w:r>
    </w:p>
    <w:p>
      <w:pPr>
        <w:pStyle w:val="Heading1"/>
        <w:spacing w:after="120" w:before="300"/>
      </w:pPr>
      <w:r>
        <w:rPr>
          <w:rFonts w:ascii="Times New Roman" w:cs="Times New Roman" w:eastAsia="Times New Roman" w:hAnsi="Times New Roman"/>
          <w:b/>
          <w:bCs/>
          <w:color w:val="003366"/>
          <w:sz w:val="24"/>
          <w:szCs w:val="24"/>
        </w:rPr>
        <w:t xml:space="preserve">II. PROBLEM STATEMENT AND PROJECT OBJECTIVES</w:t>
      </w:r>
    </w:p>
    <w:p>
      <w:pPr>
        <w:pStyle w:val="Heading2"/>
        <w:spacing w:after="80" w:before="200"/>
      </w:pPr>
      <w:r>
        <w:rPr>
          <w:rFonts w:ascii="Times New Roman" w:cs="Times New Roman" w:eastAsia="Times New Roman" w:hAnsi="Times New Roman"/>
          <w:b/>
          <w:bCs/>
          <w:i/>
          <w:iCs/>
          <w:color w:val="111111"/>
          <w:sz w:val="22"/>
          <w:szCs w:val="22"/>
        </w:rPr>
        <w:t xml:space="preserve">A. Problem Statement</w:t>
      </w:r>
    </w:p>
    <w:p>
      <w:pPr>
        <w:spacing w:after="120" w:before="60" w:line="276"/>
        <w:jc w:val="both"/>
      </w:pPr>
      <w:r>
        <w:rPr>
          <w:rFonts w:ascii="Times New Roman" w:cs="Times New Roman" w:eastAsia="Times New Roman" w:hAnsi="Times New Roman"/>
          <w:color w:val="222222"/>
          <w:sz w:val="20"/>
          <w:szCs w:val="20"/>
        </w:rPr>
        <w:t xml:space="preserve">Current digital academic environments suffer from three fundamental bottlenecks:</w:t>
      </w:r>
    </w:p>
    <w:p>
      <w:pPr>
        <w:pStyle w:val="ListParagraph"/>
        <w:numPr>
          <w:ilvl w:val="0"/>
          <w:numId w:val="1"/>
        </w:numPr>
        <w:spacing w:after="60" w:before="40" w:line="260"/>
      </w:pPr>
      <w:r>
        <w:rPr>
          <w:rFonts w:ascii="Times New Roman" w:cs="Times New Roman" w:eastAsia="Times New Roman" w:hAnsi="Times New Roman"/>
          <w:b/>
          <w:bCs/>
          <w:sz w:val="20"/>
          <w:szCs w:val="20"/>
        </w:rPr>
        <w:t xml:space="preserve">Partner Discovery Inefficiency: </w:t>
      </w:r>
      <w:r>
        <w:rPr>
          <w:rFonts w:ascii="Times New Roman" w:cs="Times New Roman" w:eastAsia="Times New Roman" w:hAnsi="Times New Roman"/>
          <w:sz w:val="20"/>
          <w:szCs w:val="20"/>
        </w:rPr>
        <w:t xml:space="preserve">Students lack automated, data-driven mechanisms to discover peers with matching majors, overlapping course interests, compatible learning styles, and aligned availability windows.</w:t>
      </w:r>
    </w:p>
    <w:p>
      <w:pPr>
        <w:pStyle w:val="ListParagraph"/>
        <w:numPr>
          <w:ilvl w:val="0"/>
          <w:numId w:val="1"/>
        </w:numPr>
        <w:spacing w:after="60" w:before="40" w:line="260"/>
      </w:pPr>
      <w:r>
        <w:rPr>
          <w:rFonts w:ascii="Times New Roman" w:cs="Times New Roman" w:eastAsia="Times New Roman" w:hAnsi="Times New Roman"/>
          <w:b/>
          <w:bCs/>
          <w:sz w:val="20"/>
          <w:szCs w:val="20"/>
        </w:rPr>
        <w:t xml:space="preserve">Application and Context Fragmentation: </w:t>
      </w:r>
      <w:r>
        <w:rPr>
          <w:rFonts w:ascii="Times New Roman" w:cs="Times New Roman" w:eastAsia="Times New Roman" w:hAnsi="Times New Roman"/>
          <w:sz w:val="20"/>
          <w:szCs w:val="20"/>
        </w:rPr>
        <w:t xml:space="preserve">Conducting a collaborative study session requires switching between 4–5 unlinked applications (messaging, video calling, file storage, Pomodoro timers, and event scheduling), degrading cognitive focus and introducing friction.</w:t>
      </w:r>
    </w:p>
    <w:p>
      <w:pPr>
        <w:pStyle w:val="ListParagraph"/>
        <w:numPr>
          <w:ilvl w:val="0"/>
          <w:numId w:val="1"/>
        </w:numPr>
        <w:spacing w:after="60" w:before="40" w:line="260"/>
      </w:pPr>
      <w:r>
        <w:rPr>
          <w:rFonts w:ascii="Times New Roman" w:cs="Times New Roman" w:eastAsia="Times New Roman" w:hAnsi="Times New Roman"/>
          <w:b/>
          <w:bCs/>
          <w:sz w:val="20"/>
          <w:szCs w:val="20"/>
        </w:rPr>
        <w:t xml:space="preserve">Lack of Accountability and Study Motivation: </w:t>
      </w:r>
      <w:r>
        <w:rPr>
          <w:rFonts w:ascii="Times New Roman" w:cs="Times New Roman" w:eastAsia="Times New Roman" w:hAnsi="Times New Roman"/>
          <w:sz w:val="20"/>
          <w:szCs w:val="20"/>
        </w:rPr>
        <w:t xml:space="preserve">Independent self-study often results in burnout and procrastination. Existing educational tools fail to incorporate structured gamification, progress visualization, and streak analytics that encourage consistent daily study habits.</w:t>
      </w:r>
    </w:p>
    <w:p>
      <w:pPr>
        <w:pStyle w:val="Heading2"/>
        <w:spacing w:after="80" w:before="200"/>
      </w:pPr>
      <w:r>
        <w:rPr>
          <w:rFonts w:ascii="Times New Roman" w:cs="Times New Roman" w:eastAsia="Times New Roman" w:hAnsi="Times New Roman"/>
          <w:b/>
          <w:bCs/>
          <w:i/>
          <w:iCs/>
          <w:color w:val="111111"/>
          <w:sz w:val="22"/>
          <w:szCs w:val="22"/>
        </w:rPr>
        <w:t xml:space="preserve">B. Primary Project Objectives</w:t>
      </w:r>
    </w:p>
    <w:p>
      <w:pPr>
        <w:pStyle w:val="ListParagraph"/>
        <w:numPr>
          <w:ilvl w:val="0"/>
          <w:numId w:val="1"/>
        </w:numPr>
        <w:spacing w:after="60" w:before="40" w:line="260"/>
      </w:pPr>
      <w:r>
        <w:rPr>
          <w:rFonts w:ascii="Times New Roman" w:cs="Times New Roman" w:eastAsia="Times New Roman" w:hAnsi="Times New Roman"/>
          <w:b/>
          <w:bCs/>
          <w:sz w:val="20"/>
          <w:szCs w:val="20"/>
        </w:rPr>
        <w:t xml:space="preserve">Unified Full-Stack Architecture: </w:t>
      </w:r>
      <w:r>
        <w:rPr>
          <w:rFonts w:ascii="Times New Roman" w:cs="Times New Roman" w:eastAsia="Times New Roman" w:hAnsi="Times New Roman"/>
          <w:sz w:val="20"/>
          <w:szCs w:val="20"/>
        </w:rPr>
        <w:t xml:space="preserve">Develop a high-performance, modern web application utilizing Next.js 15 (App Router), TypeScript, Prisma ORM, PostgreSQL with PgBouncer connection pooling, and Supabase cloud storage.</w:t>
      </w:r>
    </w:p>
    <w:p>
      <w:pPr>
        <w:pStyle w:val="ListParagraph"/>
        <w:numPr>
          <w:ilvl w:val="0"/>
          <w:numId w:val="1"/>
        </w:numPr>
        <w:spacing w:after="60" w:before="40" w:line="260"/>
      </w:pPr>
      <w:r>
        <w:rPr>
          <w:rFonts w:ascii="Times New Roman" w:cs="Times New Roman" w:eastAsia="Times New Roman" w:hAnsi="Times New Roman"/>
          <w:b/>
          <w:bCs/>
          <w:sz w:val="20"/>
          <w:szCs w:val="20"/>
        </w:rPr>
        <w:t xml:space="preserve">Multi-Attribute Partner Matching Engine: </w:t>
      </w:r>
      <w:r>
        <w:rPr>
          <w:rFonts w:ascii="Times New Roman" w:cs="Times New Roman" w:eastAsia="Times New Roman" w:hAnsi="Times New Roman"/>
          <w:sz w:val="20"/>
          <w:szCs w:val="20"/>
        </w:rPr>
        <w:t xml:space="preserve">Implement a deterministic compatibility scoring algorithm that evaluates academic domain overlap, semester proximity, schedule alignment, and social graph co-presence.</w:t>
      </w:r>
    </w:p>
    <w:p>
      <w:pPr>
        <w:pStyle w:val="ListParagraph"/>
        <w:numPr>
          <w:ilvl w:val="0"/>
          <w:numId w:val="1"/>
        </w:numPr>
        <w:spacing w:after="60" w:before="40" w:line="260"/>
      </w:pPr>
      <w:r>
        <w:rPr>
          <w:rFonts w:ascii="Times New Roman" w:cs="Times New Roman" w:eastAsia="Times New Roman" w:hAnsi="Times New Roman"/>
          <w:b/>
          <w:bCs/>
          <w:sz w:val="20"/>
          <w:szCs w:val="20"/>
        </w:rPr>
        <w:t xml:space="preserve">Ultra-Low Latency Real-Time Hub: </w:t>
      </w:r>
      <w:r>
        <w:rPr>
          <w:rFonts w:ascii="Times New Roman" w:cs="Times New Roman" w:eastAsia="Times New Roman" w:hAnsi="Times New Roman"/>
          <w:sz w:val="20"/>
          <w:szCs w:val="20"/>
        </w:rPr>
        <w:t xml:space="preserve">Engineer bi-directional communication channels powered by Socket.io and LiveKit/WebRTC supporting multi-party video conferencing, hardware privacy releases, screen sharing, and persistent messaging.</w:t>
      </w:r>
    </w:p>
    <w:p>
      <w:pPr>
        <w:pStyle w:val="ListParagraph"/>
        <w:numPr>
          <w:ilvl w:val="0"/>
          <w:numId w:val="1"/>
        </w:numPr>
        <w:spacing w:after="60" w:before="40" w:line="260"/>
      </w:pPr>
      <w:r>
        <w:rPr>
          <w:rFonts w:ascii="Times New Roman" w:cs="Times New Roman" w:eastAsia="Times New Roman" w:hAnsi="Times New Roman"/>
          <w:b/>
          <w:bCs/>
          <w:sz w:val="20"/>
          <w:szCs w:val="20"/>
        </w:rPr>
        <w:t xml:space="preserve">Gamified Study Metrics &amp; Focus Tracking: </w:t>
      </w:r>
      <w:r>
        <w:rPr>
          <w:rFonts w:ascii="Times New Roman" w:cs="Times New Roman" w:eastAsia="Times New Roman" w:hAnsi="Times New Roman"/>
          <w:sz w:val="20"/>
          <w:szCs w:val="20"/>
        </w:rPr>
        <w:t xml:space="preserve">Create an integrated Pomodoro timer system tied to an automated Experience Point (XP) progression engine, level scaling formulas, and a 28-day longitudinal activity heatmap.</w:t>
      </w:r>
    </w:p>
    <w:p>
      <w:pPr>
        <w:pStyle w:val="ListParagraph"/>
        <w:numPr>
          <w:ilvl w:val="0"/>
          <w:numId w:val="1"/>
        </w:numPr>
        <w:spacing w:after="60" w:before="40" w:line="260"/>
      </w:pPr>
      <w:r>
        <w:rPr>
          <w:rFonts w:ascii="Times New Roman" w:cs="Times New Roman" w:eastAsia="Times New Roman" w:hAnsi="Times New Roman"/>
          <w:b/>
          <w:bCs/>
          <w:sz w:val="20"/>
          <w:szCs w:val="20"/>
        </w:rPr>
        <w:t xml:space="preserve">Security, Moderation, and Data Integrity: </w:t>
      </w:r>
      <w:r>
        <w:rPr>
          <w:rFonts w:ascii="Times New Roman" w:cs="Times New Roman" w:eastAsia="Times New Roman" w:hAnsi="Times New Roman"/>
          <w:sz w:val="20"/>
          <w:szCs w:val="20"/>
        </w:rPr>
        <w:t xml:space="preserve">Enforce enterprise-grade authentication (Auth.js v5), bcrypt password hashing, account lockout protection, and comprehensive user moderation (reporting and blocking systems).</w:t>
      </w:r>
    </w:p>
    <w:p>
      <w:pPr>
        <w:pStyle w:val="Heading1"/>
        <w:spacing w:after="120" w:before="300"/>
      </w:pPr>
      <w:r>
        <w:rPr>
          <w:rFonts w:ascii="Times New Roman" w:cs="Times New Roman" w:eastAsia="Times New Roman" w:hAnsi="Times New Roman"/>
          <w:b/>
          <w:bCs/>
          <w:color w:val="003366"/>
          <w:sz w:val="24"/>
          <w:szCs w:val="24"/>
        </w:rPr>
        <w:t xml:space="preserve">III. SYSTEM ARCHITECTURE AND METHODOLOGY</w:t>
      </w:r>
    </w:p>
    <w:p>
      <w:pPr>
        <w:pStyle w:val="Heading2"/>
        <w:spacing w:after="80" w:before="200"/>
      </w:pPr>
      <w:r>
        <w:rPr>
          <w:rFonts w:ascii="Times New Roman" w:cs="Times New Roman" w:eastAsia="Times New Roman" w:hAnsi="Times New Roman"/>
          <w:b/>
          <w:bCs/>
          <w:i/>
          <w:iCs/>
          <w:color w:val="111111"/>
          <w:sz w:val="22"/>
          <w:szCs w:val="22"/>
        </w:rPr>
        <w:t xml:space="preserve">A. High-Level Architectural Framework</w:t>
      </w:r>
    </w:p>
    <w:p>
      <w:pPr>
        <w:spacing w:after="120" w:before="60" w:line="276"/>
        <w:jc w:val="both"/>
      </w:pPr>
      <w:r>
        <w:rPr>
          <w:rFonts w:ascii="Times New Roman" w:cs="Times New Roman" w:eastAsia="Times New Roman" w:hAnsi="Times New Roman"/>
          <w:color w:val="222222"/>
          <w:sz w:val="20"/>
          <w:szCs w:val="20"/>
        </w:rPr>
        <w:t xml:space="preserve">Zenvy follows a modern three-tier cloud-native architecture decoupled into Presentation, Application Logic, and Data Persistence layers:</w:t>
      </w:r>
    </w:p>
    <w:p>
      <w:pPr>
        <w:pStyle w:val="ListParagraph"/>
        <w:numPr>
          <w:ilvl w:val="0"/>
          <w:numId w:val="1"/>
        </w:numPr>
        <w:spacing w:after="60" w:before="40" w:line="260"/>
      </w:pPr>
      <w:r>
        <w:rPr>
          <w:rFonts w:ascii="Times New Roman" w:cs="Times New Roman" w:eastAsia="Times New Roman" w:hAnsi="Times New Roman"/>
          <w:b/>
          <w:bCs/>
          <w:sz w:val="20"/>
          <w:szCs w:val="20"/>
        </w:rPr>
        <w:t xml:space="preserve">Client Presentation Tier: </w:t>
      </w:r>
      <w:r>
        <w:rPr>
          <w:rFonts w:ascii="Times New Roman" w:cs="Times New Roman" w:eastAsia="Times New Roman" w:hAnsi="Times New Roman"/>
          <w:sz w:val="20"/>
          <w:szCs w:val="20"/>
        </w:rPr>
        <w:t xml:space="preserve">Server-Side Rendered (SSR) and Client-Side Interactive (CSR) components built with React 19, Next.js 15 App Router, Tailwind CSS, and Framer Motion for responsive UI and fluid micro-animations.</w:t>
      </w:r>
    </w:p>
    <w:p>
      <w:pPr>
        <w:pStyle w:val="ListParagraph"/>
        <w:numPr>
          <w:ilvl w:val="0"/>
          <w:numId w:val="1"/>
        </w:numPr>
        <w:spacing w:after="60" w:before="40" w:line="260"/>
      </w:pPr>
      <w:r>
        <w:rPr>
          <w:rFonts w:ascii="Times New Roman" w:cs="Times New Roman" w:eastAsia="Times New Roman" w:hAnsi="Times New Roman"/>
          <w:b/>
          <w:bCs/>
          <w:sz w:val="20"/>
          <w:szCs w:val="20"/>
        </w:rPr>
        <w:t xml:space="preserve">Application &amp; Real-Time Tier: </w:t>
      </w:r>
      <w:r>
        <w:rPr>
          <w:rFonts w:ascii="Times New Roman" w:cs="Times New Roman" w:eastAsia="Times New Roman" w:hAnsi="Times New Roman"/>
          <w:sz w:val="20"/>
          <w:szCs w:val="20"/>
        </w:rPr>
        <w:t xml:space="preserve">Node.js runtime executing RESTful Server Actions and API route handlers alongside a dedicated Socket.io microservice managing room signaling, WebRTC session negotiation, online presence, and instant messaging.</w:t>
      </w:r>
    </w:p>
    <w:p>
      <w:pPr>
        <w:pStyle w:val="ListParagraph"/>
        <w:numPr>
          <w:ilvl w:val="0"/>
          <w:numId w:val="1"/>
        </w:numPr>
        <w:spacing w:after="60" w:before="40" w:line="260"/>
      </w:pPr>
      <w:r>
        <w:rPr>
          <w:rFonts w:ascii="Times New Roman" w:cs="Times New Roman" w:eastAsia="Times New Roman" w:hAnsi="Times New Roman"/>
          <w:b/>
          <w:bCs/>
          <w:sz w:val="20"/>
          <w:szCs w:val="20"/>
        </w:rPr>
        <w:t xml:space="preserve">Data Persistence Tier: </w:t>
      </w:r>
      <w:r>
        <w:rPr>
          <w:rFonts w:ascii="Times New Roman" w:cs="Times New Roman" w:eastAsia="Times New Roman" w:hAnsi="Times New Roman"/>
          <w:sz w:val="20"/>
          <w:szCs w:val="20"/>
        </w:rPr>
        <w:t xml:space="preserve">PostgreSQL database managed via Prisma ORM for relational queries, integrated with PgBouncer for high-concurrency pooling, Upstash Redis for caching, and Supabase Storage for encrypted media and avatars.</w:t>
      </w:r>
    </w:p>
    <w:p>
      <w:pPr>
        <w:pStyle w:val="Heading2"/>
        <w:spacing w:after="80" w:before="200"/>
      </w:pPr>
      <w:r>
        <w:rPr>
          <w:rFonts w:ascii="Times New Roman" w:cs="Times New Roman" w:eastAsia="Times New Roman" w:hAnsi="Times New Roman"/>
          <w:b/>
          <w:bCs/>
          <w:i/>
          <w:iCs/>
          <w:color w:val="111111"/>
          <w:sz w:val="22"/>
          <w:szCs w:val="22"/>
        </w:rPr>
        <w:t xml:space="preserve">B. Mathematical Formulation of Compatibility Matching Engine</w:t>
      </w:r>
    </w:p>
    <w:p>
      <w:pPr>
        <w:spacing w:after="120" w:before="60" w:line="276"/>
        <w:jc w:val="both"/>
      </w:pPr>
      <w:r>
        <w:rPr>
          <w:rFonts w:ascii="Times New Roman" w:cs="Times New Roman" w:eastAsia="Times New Roman" w:hAnsi="Times New Roman"/>
          <w:color w:val="222222"/>
          <w:sz w:val="20"/>
          <w:szCs w:val="20"/>
        </w:rPr>
        <w:t xml:space="preserve">To pair students efficiently, Zenvy implements a multi-parameter scoring function S(u, v) between the current user u and candidate peer v, bounded within [0, 100]:</w:t>
      </w:r>
    </w:p>
    <w:p>
      <w:pPr>
        <w:spacing w:after="100" w:before="100" w:line="276"/>
        <w:jc w:val="center"/>
      </w:pPr>
      <w:r>
        <w:rPr>
          <w:rFonts w:ascii="Times New Roman" w:cs="Times New Roman" w:eastAsia="Times New Roman" w:hAnsi="Times New Roman"/>
          <w:b/>
          <w:bCs/>
          <w:color w:val="222222"/>
          <w:sz w:val="20"/>
          <w:szCs w:val="20"/>
        </w:rPr>
        <w:t xml:space="preserve">S(u, v) = W_major · δ(M_u, M_v) + W_int · f_overlap(I_u, I_v) + W_avail · f_avail(A_u, A_v) + W_col · δ(C_u, C_v) + W_sem · f_sem(S_u, S_v) + W_soc · f_soc(G_u, G_v)</w:t>
      </w:r>
    </w:p>
    <w:p>
      <w:pPr>
        <w:spacing w:after="120" w:before="60" w:line="276"/>
        <w:jc w:val="both"/>
      </w:pPr>
      <w:r>
        <w:rPr>
          <w:rFonts w:ascii="Times New Roman" w:cs="Times New Roman" w:eastAsia="Times New Roman" w:hAnsi="Times New Roman"/>
          <w:color w:val="222222"/>
          <w:sz w:val="20"/>
          <w:szCs w:val="20"/>
        </w:rPr>
        <w:t xml:space="preserve">Where the algorithmic weight distribution is assigned based on empirical peer relevance:</w:t>
      </w:r>
    </w:p>
    <w:p>
      <w:pPr>
        <w:pStyle w:val="ListParagraph"/>
        <w:numPr>
          <w:ilvl w:val="0"/>
          <w:numId w:val="1"/>
        </w:numPr>
        <w:spacing w:after="60" w:before="40" w:line="260"/>
      </w:pPr>
      <w:r>
        <w:rPr>
          <w:rFonts w:ascii="Times New Roman" w:cs="Times New Roman" w:eastAsia="Times New Roman" w:hAnsi="Times New Roman"/>
          <w:b/>
          <w:bCs/>
          <w:sz w:val="20"/>
          <w:szCs w:val="20"/>
        </w:rPr>
        <w:t xml:space="preserve">W_major = 25: </w:t>
      </w:r>
      <w:r>
        <w:rPr>
          <w:rFonts w:ascii="Times New Roman" w:cs="Times New Roman" w:eastAsia="Times New Roman" w:hAnsi="Times New Roman"/>
          <w:sz w:val="20"/>
          <w:szCs w:val="20"/>
        </w:rPr>
        <w:t xml:space="preserve">Exact match between academic disciplines δ(M_u, M_v) ∈ {0, 1}.</w:t>
      </w:r>
    </w:p>
    <w:p>
      <w:pPr>
        <w:pStyle w:val="ListParagraph"/>
        <w:numPr>
          <w:ilvl w:val="0"/>
          <w:numId w:val="1"/>
        </w:numPr>
        <w:spacing w:after="60" w:before="40" w:line="260"/>
      </w:pPr>
      <w:r>
        <w:rPr>
          <w:rFonts w:ascii="Times New Roman" w:cs="Times New Roman" w:eastAsia="Times New Roman" w:hAnsi="Times New Roman"/>
          <w:b/>
          <w:bCs/>
          <w:sz w:val="20"/>
          <w:szCs w:val="20"/>
        </w:rPr>
        <w:t xml:space="preserve">W_int = 25: </w:t>
      </w:r>
      <w:r>
        <w:rPr>
          <w:rFonts w:ascii="Times New Roman" w:cs="Times New Roman" w:eastAsia="Times New Roman" w:hAnsi="Times New Roman"/>
          <w:sz w:val="20"/>
          <w:szCs w:val="20"/>
        </w:rPr>
        <w:t xml:space="preserve">Jaccard-weighted overlap of declared subject tags and research interests f_overlap(I_u, I_v) = min(|I_u ∩ I_v| × 8, 25).</w:t>
      </w:r>
    </w:p>
    <w:p>
      <w:pPr>
        <w:pStyle w:val="ListParagraph"/>
        <w:numPr>
          <w:ilvl w:val="0"/>
          <w:numId w:val="1"/>
        </w:numPr>
        <w:spacing w:after="60" w:before="40" w:line="260"/>
      </w:pPr>
      <w:r>
        <w:rPr>
          <w:rFonts w:ascii="Times New Roman" w:cs="Times New Roman" w:eastAsia="Times New Roman" w:hAnsi="Times New Roman"/>
          <w:b/>
          <w:bCs/>
          <w:sz w:val="20"/>
          <w:szCs w:val="20"/>
        </w:rPr>
        <w:t xml:space="preserve">W_avail = 20: </w:t>
      </w:r>
      <w:r>
        <w:rPr>
          <w:rFonts w:ascii="Times New Roman" w:cs="Times New Roman" w:eastAsia="Times New Roman" w:hAnsi="Times New Roman"/>
          <w:sz w:val="20"/>
          <w:szCs w:val="20"/>
        </w:rPr>
        <w:t xml:space="preserve">Normalized weekly schedule synchronicity (20 for identical availability, 10 for partial overlap).</w:t>
      </w:r>
    </w:p>
    <w:p>
      <w:pPr>
        <w:pStyle w:val="ListParagraph"/>
        <w:numPr>
          <w:ilvl w:val="0"/>
          <w:numId w:val="1"/>
        </w:numPr>
        <w:spacing w:after="60" w:before="40" w:line="260"/>
      </w:pPr>
      <w:r>
        <w:rPr>
          <w:rFonts w:ascii="Times New Roman" w:cs="Times New Roman" w:eastAsia="Times New Roman" w:hAnsi="Times New Roman"/>
          <w:b/>
          <w:bCs/>
          <w:sz w:val="20"/>
          <w:szCs w:val="20"/>
        </w:rPr>
        <w:t xml:space="preserve">W_col = 10: </w:t>
      </w:r>
      <w:r>
        <w:rPr>
          <w:rFonts w:ascii="Times New Roman" w:cs="Times New Roman" w:eastAsia="Times New Roman" w:hAnsi="Times New Roman"/>
          <w:sz w:val="20"/>
          <w:szCs w:val="20"/>
        </w:rPr>
        <w:t xml:space="preserve">Institutional/College affiliation match δ(C_u, C_v) ∈ {0, 1}.</w:t>
      </w:r>
    </w:p>
    <w:p>
      <w:pPr>
        <w:pStyle w:val="ListParagraph"/>
        <w:numPr>
          <w:ilvl w:val="0"/>
          <w:numId w:val="1"/>
        </w:numPr>
        <w:spacing w:after="60" w:before="40" w:line="260"/>
      </w:pPr>
      <w:r>
        <w:rPr>
          <w:rFonts w:ascii="Times New Roman" w:cs="Times New Roman" w:eastAsia="Times New Roman" w:hAnsi="Times New Roman"/>
          <w:b/>
          <w:bCs/>
          <w:sz w:val="20"/>
          <w:szCs w:val="20"/>
        </w:rPr>
        <w:t xml:space="preserve">W_sem = 10: </w:t>
      </w:r>
      <w:r>
        <w:rPr>
          <w:rFonts w:ascii="Times New Roman" w:cs="Times New Roman" w:eastAsia="Times New Roman" w:hAnsi="Times New Roman"/>
          <w:sz w:val="20"/>
          <w:szCs w:val="20"/>
        </w:rPr>
        <w:t xml:space="preserve">Academic standing proximity f_sem(S_u, S_v) = 10 if |S_u - S_v| ≤ 1, else 0.</w:t>
      </w:r>
    </w:p>
    <w:p>
      <w:pPr>
        <w:pStyle w:val="ListParagraph"/>
        <w:numPr>
          <w:ilvl w:val="0"/>
          <w:numId w:val="1"/>
        </w:numPr>
        <w:spacing w:after="60" w:before="40" w:line="260"/>
      </w:pPr>
      <w:r>
        <w:rPr>
          <w:rFonts w:ascii="Times New Roman" w:cs="Times New Roman" w:eastAsia="Times New Roman" w:hAnsi="Times New Roman"/>
          <w:b/>
          <w:bCs/>
          <w:sz w:val="20"/>
          <w:szCs w:val="20"/>
        </w:rPr>
        <w:t xml:space="preserve">W_soc = 10: </w:t>
      </w:r>
      <w:r>
        <w:rPr>
          <w:rFonts w:ascii="Times New Roman" w:cs="Times New Roman" w:eastAsia="Times New Roman" w:hAnsi="Times New Roman"/>
          <w:sz w:val="20"/>
          <w:szCs w:val="20"/>
        </w:rPr>
        <w:t xml:space="preserve">Shared community graph overlap min((|G_u ∩ G_v| + |C_u ∩ C_v|) × 5, 10).</w:t>
      </w:r>
    </w:p>
    <w:p>
      <w:pPr>
        <w:spacing w:after="120" w:before="60" w:line="276"/>
        <w:jc w:val="both"/>
      </w:pPr>
      <w:r>
        <w:rPr>
          <w:rFonts w:ascii="Times New Roman" w:cs="Times New Roman" w:eastAsia="Times New Roman" w:hAnsi="Times New Roman"/>
          <w:color w:val="222222"/>
          <w:sz w:val="20"/>
          <w:szCs w:val="20"/>
        </w:rPr>
        <w:t xml:space="preserve">A query-specific lexical matching score searchScore(Q, T) (up to +100) is overlaid dynamically during active text search.</w:t>
      </w:r>
    </w:p>
    <w:p>
      <w:pPr>
        <w:pStyle w:val="Heading2"/>
        <w:spacing w:after="80" w:before="200"/>
      </w:pPr>
      <w:r>
        <w:rPr>
          <w:rFonts w:ascii="Times New Roman" w:cs="Times New Roman" w:eastAsia="Times New Roman" w:hAnsi="Times New Roman"/>
          <w:b/>
          <w:bCs/>
          <w:i/>
          <w:iCs/>
          <w:color w:val="111111"/>
          <w:sz w:val="22"/>
          <w:szCs w:val="22"/>
        </w:rPr>
        <w:t xml:space="preserve">C. Real-Time Communication and Media Subsystem</w:t>
      </w:r>
    </w:p>
    <w:p>
      <w:pPr>
        <w:spacing w:after="120" w:before="60" w:line="276"/>
        <w:jc w:val="both"/>
      </w:pPr>
      <w:r>
        <w:rPr>
          <w:rFonts w:ascii="Times New Roman" w:cs="Times New Roman" w:eastAsia="Times New Roman" w:hAnsi="Times New Roman"/>
          <w:color w:val="222222"/>
          <w:sz w:val="20"/>
          <w:szCs w:val="20"/>
        </w:rPr>
        <w:t xml:space="preserve">Zenvy leverages WebRTC (via Simple-Peer / LiveKit Server SDK) coupled with an isolated Socket.io signaling service. The signaling protocol coordinates SDP offers, answers, and ICE candidate exchange across peer topologies. Critical media lifecycle handlers ensure that whenever a participant disconnects or switches modes, all local hardware tracks (MediaStreamTrack for video and audio) are immediately stopped and unbound, preventing background device capture and ensuring stringent user privacy.</w:t>
      </w:r>
    </w:p>
    <w:p>
      <w:pPr>
        <w:pStyle w:val="Heading2"/>
        <w:spacing w:after="80" w:before="200"/>
      </w:pPr>
      <w:r>
        <w:rPr>
          <w:rFonts w:ascii="Times New Roman" w:cs="Times New Roman" w:eastAsia="Times New Roman" w:hAnsi="Times New Roman"/>
          <w:b/>
          <w:bCs/>
          <w:i/>
          <w:iCs/>
          <w:color w:val="111111"/>
          <w:sz w:val="22"/>
          <w:szCs w:val="22"/>
        </w:rPr>
        <w:t xml:space="preserve">D. Gamified Learning Metrics and XP Progression</w:t>
      </w:r>
    </w:p>
    <w:p>
      <w:pPr>
        <w:spacing w:after="120" w:before="60" w:line="276"/>
        <w:jc w:val="both"/>
      </w:pPr>
      <w:r>
        <w:rPr>
          <w:rFonts w:ascii="Times New Roman" w:cs="Times New Roman" w:eastAsia="Times New Roman" w:hAnsi="Times New Roman"/>
          <w:color w:val="222222"/>
          <w:sz w:val="20"/>
          <w:szCs w:val="20"/>
        </w:rPr>
        <w:t xml:space="preserve">To sustain long-term engagement and cultivate rigorous study routines, Zenvy features an automated Experience Point (XP) progression engine. Users accumulate XP across structured academic milestones: Completed Event Attendance (+50 XP), Study Hour logged (+10 XP/hr), Group/Channel Creation (+40 XP), Resource Contribution (+30 XP), Group/Channel Membership (+25 XP), Pomodoro Focus Session (+10 XP/hr), and Peer Messaging (+2 XP/msg, capped at 100 XP/day). Level thresholds are governed by a quadratic curve:</w:t>
      </w:r>
    </w:p>
    <w:p>
      <w:pPr>
        <w:spacing w:after="80" w:before="80" w:line="276"/>
        <w:jc w:val="center"/>
      </w:pPr>
      <w:r>
        <w:rPr>
          <w:rFonts w:ascii="Times New Roman" w:cs="Times New Roman" w:eastAsia="Times New Roman" w:hAnsi="Times New Roman"/>
          <w:b/>
          <w:bCs/>
          <w:color w:val="222222"/>
          <w:sz w:val="20"/>
          <w:szCs w:val="20"/>
        </w:rPr>
        <w:t xml:space="preserve">XP_threshold(L) = 250 · (L - 1) · L</w:t>
      </w:r>
    </w:p>
    <w:p>
      <w:pPr>
        <w:spacing w:after="120" w:before="60" w:line="276"/>
        <w:jc w:val="both"/>
      </w:pPr>
      <w:r>
        <w:rPr>
          <w:rFonts w:ascii="Times New Roman" w:cs="Times New Roman" w:eastAsia="Times New Roman" w:hAnsi="Times New Roman"/>
          <w:color w:val="222222"/>
          <w:sz w:val="20"/>
          <w:szCs w:val="20"/>
        </w:rPr>
        <w:t xml:space="preserve">The system computes real-time daily study streaks, attendance reliability rates, and visualizes a 28-day longitudinal activity heatmap categorized into 5 intensity tiers.</w:t>
      </w:r>
    </w:p>
    <w:p>
      <w:pPr>
        <w:pStyle w:val="Heading1"/>
        <w:spacing w:after="120" w:before="300"/>
      </w:pPr>
      <w:r>
        <w:rPr>
          <w:rFonts w:ascii="Times New Roman" w:cs="Times New Roman" w:eastAsia="Times New Roman" w:hAnsi="Times New Roman"/>
          <w:b/>
          <w:bCs/>
          <w:color w:val="003366"/>
          <w:sz w:val="24"/>
          <w:szCs w:val="24"/>
        </w:rPr>
        <w:t xml:space="preserve">IV. SYSTEM SPECIFICATIONS AND TECHNOLOGY STACK</w:t>
      </w:r>
    </w:p>
    <w:p>
      <w:pPr>
        <w:spacing w:after="120" w:before="60" w:line="276"/>
        <w:jc w:val="both"/>
      </w:pPr>
      <w:r>
        <w:rPr>
          <w:rFonts w:ascii="Times New Roman" w:cs="Times New Roman" w:eastAsia="Times New Roman" w:hAnsi="Times New Roman"/>
          <w:color w:val="222222"/>
          <w:sz w:val="20"/>
          <w:szCs w:val="20"/>
        </w:rPr>
        <w:t xml:space="preserve">The concrete technological stack and architectural modules utilized in the Zenvy platform are summarized in Table I.</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CCCCCC" w:sz="1"/>
              <w:left w:val="single" w:color="CCCCCC" w:sz="1"/>
              <w:bottom w:val="single" w:color="CCCCCC" w:sz="1"/>
              <w:right w:val="single" w:color="CCCCCC" w:sz="1"/>
            </w:tcBorders>
            <w:shd w:fill="003366" w:val="clear"/>
            <w:tcMar>
              <w:top w:type="dxa" w:w="120"/>
              <w:left w:type="dxa" w:w="150"/>
              <w:bottom w:type="dxa" w:w="120"/>
              <w:right w:type="dxa" w:w="150"/>
            </w:tcMar>
          </w:tcPr>
          <w:p>
            <w:pPr>
              <w:jc w:val="center"/>
            </w:pPr>
            <w:r>
              <w:rPr>
                <w:rFonts w:ascii="Times New Roman" w:cs="Times New Roman" w:eastAsia="Times New Roman" w:hAnsi="Times New Roman"/>
                <w:b/>
                <w:bCs/>
                <w:color w:val="FFFFFF"/>
                <w:sz w:val="19"/>
                <w:szCs w:val="19"/>
              </w:rPr>
              <w:t xml:space="preserve">Architectural Layer</w:t>
            </w:r>
          </w:p>
        </w:tc>
        <w:tc>
          <w:tcPr>
            <w:tcW w:type="pct" w:w="30%"/>
            <w:tcBorders>
              <w:top w:val="single" w:color="CCCCCC" w:sz="1"/>
              <w:left w:val="single" w:color="CCCCCC" w:sz="1"/>
              <w:bottom w:val="single" w:color="CCCCCC" w:sz="1"/>
              <w:right w:val="single" w:color="CCCCCC" w:sz="1"/>
            </w:tcBorders>
            <w:shd w:fill="003366" w:val="clear"/>
            <w:tcMar>
              <w:top w:type="dxa" w:w="120"/>
              <w:left w:type="dxa" w:w="150"/>
              <w:bottom w:type="dxa" w:w="120"/>
              <w:right w:type="dxa" w:w="150"/>
            </w:tcMar>
          </w:tcPr>
          <w:p>
            <w:pPr>
              <w:jc w:val="center"/>
            </w:pPr>
            <w:r>
              <w:rPr>
                <w:rFonts w:ascii="Times New Roman" w:cs="Times New Roman" w:eastAsia="Times New Roman" w:hAnsi="Times New Roman"/>
                <w:b/>
                <w:bCs/>
                <w:color w:val="FFFFFF"/>
                <w:sz w:val="19"/>
                <w:szCs w:val="19"/>
              </w:rPr>
              <w:t xml:space="preserve">Technology / Framework</w:t>
            </w:r>
          </w:p>
        </w:tc>
        <w:tc>
          <w:tcPr>
            <w:tcW w:type="pct" w:w="45%"/>
            <w:tcBorders>
              <w:top w:val="single" w:color="CCCCCC" w:sz="1"/>
              <w:left w:val="single" w:color="CCCCCC" w:sz="1"/>
              <w:bottom w:val="single" w:color="CCCCCC" w:sz="1"/>
              <w:right w:val="single" w:color="CCCCCC" w:sz="1"/>
            </w:tcBorders>
            <w:shd w:fill="003366" w:val="clear"/>
            <w:tcMar>
              <w:top w:type="dxa" w:w="120"/>
              <w:left w:type="dxa" w:w="150"/>
              <w:bottom w:type="dxa" w:w="120"/>
              <w:right w:type="dxa" w:w="150"/>
            </w:tcMar>
          </w:tcPr>
          <w:p>
            <w:pPr>
              <w:jc w:val="center"/>
            </w:pPr>
            <w:r>
              <w:rPr>
                <w:rFonts w:ascii="Times New Roman" w:cs="Times New Roman" w:eastAsia="Times New Roman" w:hAnsi="Times New Roman"/>
                <w:b/>
                <w:bCs/>
                <w:color w:val="FFFFFF"/>
                <w:sz w:val="19"/>
                <w:szCs w:val="19"/>
              </w:rPr>
              <w:t xml:space="preserve">Functional Role &amp; Description</w:t>
            </w:r>
          </w:p>
        </w:tc>
      </w:tr>
      <w:tr>
        <w:tc>
          <w:tcPr>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left"/>
            </w:pPr>
            <w:r>
              <w:rPr>
                <w:rFonts w:ascii="Times New Roman" w:cs="Times New Roman" w:eastAsia="Times New Roman" w:hAnsi="Times New Roman"/>
                <w:b w:val="false"/>
                <w:bCs w:val="false"/>
                <w:color w:val="222222"/>
                <w:sz w:val="19"/>
                <w:szCs w:val="19"/>
              </w:rPr>
              <w:t xml:space="preserve">Frontend Framework</w:t>
            </w:r>
          </w:p>
        </w:tc>
        <w:tc>
          <w:tcPr>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left"/>
            </w:pPr>
            <w:r>
              <w:rPr>
                <w:rFonts w:ascii="Times New Roman" w:cs="Times New Roman" w:eastAsia="Times New Roman" w:hAnsi="Times New Roman"/>
                <w:b w:val="false"/>
                <w:bCs w:val="false"/>
                <w:color w:val="222222"/>
                <w:sz w:val="19"/>
                <w:szCs w:val="19"/>
              </w:rPr>
              <w:t xml:space="preserve">Next.js 15+ (App Router), React 19</w:t>
            </w:r>
          </w:p>
        </w:tc>
        <w:tc>
          <w:tcPr>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left"/>
            </w:pPr>
            <w:r>
              <w:rPr>
                <w:rFonts w:ascii="Times New Roman" w:cs="Times New Roman" w:eastAsia="Times New Roman" w:hAnsi="Times New Roman"/>
                <w:b w:val="false"/>
                <w:bCs w:val="false"/>
                <w:color w:val="222222"/>
                <w:sz w:val="19"/>
                <w:szCs w:val="19"/>
              </w:rPr>
              <w:t xml:space="preserve">Server-Side Rendering, Client Components, and optimized layout routing</w:t>
            </w:r>
          </w:p>
        </w:tc>
      </w:tr>
      <w:tr>
        <w:tc>
          <w:tcPr>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left"/>
            </w:pPr>
            <w:r>
              <w:rPr>
                <w:rFonts w:ascii="Times New Roman" w:cs="Times New Roman" w:eastAsia="Times New Roman" w:hAnsi="Times New Roman"/>
                <w:b w:val="false"/>
                <w:bCs w:val="false"/>
                <w:color w:val="222222"/>
                <w:sz w:val="19"/>
                <w:szCs w:val="19"/>
              </w:rPr>
              <w:t xml:space="preserve">Styling &amp; Animation</w:t>
            </w:r>
          </w:p>
        </w:tc>
        <w:tc>
          <w:tcPr>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left"/>
            </w:pPr>
            <w:r>
              <w:rPr>
                <w:rFonts w:ascii="Times New Roman" w:cs="Times New Roman" w:eastAsia="Times New Roman" w:hAnsi="Times New Roman"/>
                <w:b w:val="false"/>
                <w:bCs w:val="false"/>
                <w:color w:val="222222"/>
                <w:sz w:val="19"/>
                <w:szCs w:val="19"/>
              </w:rPr>
              <w:t xml:space="preserve">Tailwind CSS v4, Framer Motion</w:t>
            </w:r>
          </w:p>
        </w:tc>
        <w:tc>
          <w:tcPr>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left"/>
            </w:pPr>
            <w:r>
              <w:rPr>
                <w:rFonts w:ascii="Times New Roman" w:cs="Times New Roman" w:eastAsia="Times New Roman" w:hAnsi="Times New Roman"/>
                <w:b w:val="false"/>
                <w:bCs w:val="false"/>
                <w:color w:val="222222"/>
                <w:sz w:val="19"/>
                <w:szCs w:val="19"/>
              </w:rPr>
              <w:t xml:space="preserve">Responsive glassmorphic UI, micro-animations, and fluid transitions</w:t>
            </w:r>
          </w:p>
        </w:tc>
      </w:tr>
      <w:tr>
        <w:tc>
          <w:tcPr>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left"/>
            </w:pPr>
            <w:r>
              <w:rPr>
                <w:rFonts w:ascii="Times New Roman" w:cs="Times New Roman" w:eastAsia="Times New Roman" w:hAnsi="Times New Roman"/>
                <w:b w:val="false"/>
                <w:bCs w:val="false"/>
                <w:color w:val="222222"/>
                <w:sz w:val="19"/>
                <w:szCs w:val="19"/>
              </w:rPr>
              <w:t xml:space="preserve">Backend &amp; ORM</w:t>
            </w:r>
          </w:p>
        </w:tc>
        <w:tc>
          <w:tcPr>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left"/>
            </w:pPr>
            <w:r>
              <w:rPr>
                <w:rFonts w:ascii="Times New Roman" w:cs="Times New Roman" w:eastAsia="Times New Roman" w:hAnsi="Times New Roman"/>
                <w:b w:val="false"/>
                <w:bCs w:val="false"/>
                <w:color w:val="222222"/>
                <w:sz w:val="19"/>
                <w:szCs w:val="19"/>
              </w:rPr>
              <w:t xml:space="preserve">Node.js Runtime, Prisma ORM 5.22</w:t>
            </w:r>
          </w:p>
        </w:tc>
        <w:tc>
          <w:tcPr>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left"/>
            </w:pPr>
            <w:r>
              <w:rPr>
                <w:rFonts w:ascii="Times New Roman" w:cs="Times New Roman" w:eastAsia="Times New Roman" w:hAnsi="Times New Roman"/>
                <w:b w:val="false"/>
                <w:bCs w:val="false"/>
                <w:color w:val="222222"/>
                <w:sz w:val="19"/>
                <w:szCs w:val="19"/>
              </w:rPr>
              <w:t xml:space="preserve">Type-safe data access, migrations, and relationship handling</w:t>
            </w:r>
          </w:p>
        </w:tc>
      </w:tr>
      <w:tr>
        <w:tc>
          <w:tcPr>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left"/>
            </w:pPr>
            <w:r>
              <w:rPr>
                <w:rFonts w:ascii="Times New Roman" w:cs="Times New Roman" w:eastAsia="Times New Roman" w:hAnsi="Times New Roman"/>
                <w:b w:val="false"/>
                <w:bCs w:val="false"/>
                <w:color w:val="222222"/>
                <w:sz w:val="19"/>
                <w:szCs w:val="19"/>
              </w:rPr>
              <w:t xml:space="preserve">Database &amp; Pooling</w:t>
            </w:r>
          </w:p>
        </w:tc>
        <w:tc>
          <w:tcPr>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left"/>
            </w:pPr>
            <w:r>
              <w:rPr>
                <w:rFonts w:ascii="Times New Roman" w:cs="Times New Roman" w:eastAsia="Times New Roman" w:hAnsi="Times New Roman"/>
                <w:b w:val="false"/>
                <w:bCs w:val="false"/>
                <w:color w:val="222222"/>
                <w:sz w:val="19"/>
                <w:szCs w:val="19"/>
              </w:rPr>
              <w:t xml:space="preserve">PostgreSQL, PgBouncer</w:t>
            </w:r>
          </w:p>
        </w:tc>
        <w:tc>
          <w:tcPr>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left"/>
            </w:pPr>
            <w:r>
              <w:rPr>
                <w:rFonts w:ascii="Times New Roman" w:cs="Times New Roman" w:eastAsia="Times New Roman" w:hAnsi="Times New Roman"/>
                <w:b w:val="false"/>
                <w:bCs w:val="false"/>
                <w:color w:val="222222"/>
                <w:sz w:val="19"/>
                <w:szCs w:val="19"/>
              </w:rPr>
              <w:t xml:space="preserve">Relational storage with high-concurrency connection pooling</w:t>
            </w:r>
          </w:p>
        </w:tc>
      </w:tr>
      <w:tr>
        <w:tc>
          <w:tcPr>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left"/>
            </w:pPr>
            <w:r>
              <w:rPr>
                <w:rFonts w:ascii="Times New Roman" w:cs="Times New Roman" w:eastAsia="Times New Roman" w:hAnsi="Times New Roman"/>
                <w:b w:val="false"/>
                <w:bCs w:val="false"/>
                <w:color w:val="222222"/>
                <w:sz w:val="19"/>
                <w:szCs w:val="19"/>
              </w:rPr>
              <w:t xml:space="preserve">Real-Time Protocols</w:t>
            </w:r>
          </w:p>
        </w:tc>
        <w:tc>
          <w:tcPr>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left"/>
            </w:pPr>
            <w:r>
              <w:rPr>
                <w:rFonts w:ascii="Times New Roman" w:cs="Times New Roman" w:eastAsia="Times New Roman" w:hAnsi="Times New Roman"/>
                <w:b w:val="false"/>
                <w:bCs w:val="false"/>
                <w:color w:val="222222"/>
                <w:sz w:val="19"/>
                <w:szCs w:val="19"/>
              </w:rPr>
              <w:t xml:space="preserve">Socket.io 4.8, WebRTC / LiveKit</w:t>
            </w:r>
          </w:p>
        </w:tc>
        <w:tc>
          <w:tcPr>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left"/>
            </w:pPr>
            <w:r>
              <w:rPr>
                <w:rFonts w:ascii="Times New Roman" w:cs="Times New Roman" w:eastAsia="Times New Roman" w:hAnsi="Times New Roman"/>
                <w:b w:val="false"/>
                <w:bCs w:val="false"/>
                <w:color w:val="222222"/>
                <w:sz w:val="19"/>
                <w:szCs w:val="19"/>
              </w:rPr>
              <w:t xml:space="preserve">Bidirectional signaling, peer video/audio calling, instant messaging</w:t>
            </w:r>
          </w:p>
        </w:tc>
      </w:tr>
      <w:tr>
        <w:tc>
          <w:tcPr>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left"/>
            </w:pPr>
            <w:r>
              <w:rPr>
                <w:rFonts w:ascii="Times New Roman" w:cs="Times New Roman" w:eastAsia="Times New Roman" w:hAnsi="Times New Roman"/>
                <w:b w:val="false"/>
                <w:bCs w:val="false"/>
                <w:color w:val="222222"/>
                <w:sz w:val="19"/>
                <w:szCs w:val="19"/>
              </w:rPr>
              <w:t xml:space="preserve">Authentication &amp; Security</w:t>
            </w:r>
          </w:p>
        </w:tc>
        <w:tc>
          <w:tcPr>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left"/>
            </w:pPr>
            <w:r>
              <w:rPr>
                <w:rFonts w:ascii="Times New Roman" w:cs="Times New Roman" w:eastAsia="Times New Roman" w:hAnsi="Times New Roman"/>
                <w:b w:val="false"/>
                <w:bCs w:val="false"/>
                <w:color w:val="222222"/>
                <w:sz w:val="19"/>
                <w:szCs w:val="19"/>
              </w:rPr>
              <w:t xml:space="preserve">Auth.js v5 (NextAuth), Bcrypt.js</w:t>
            </w:r>
          </w:p>
        </w:tc>
        <w:tc>
          <w:tcPr>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left"/>
            </w:pPr>
            <w:r>
              <w:rPr>
                <w:rFonts w:ascii="Times New Roman" w:cs="Times New Roman" w:eastAsia="Times New Roman" w:hAnsi="Times New Roman"/>
                <w:b w:val="false"/>
                <w:bCs w:val="false"/>
                <w:color w:val="222222"/>
                <w:sz w:val="19"/>
                <w:szCs w:val="19"/>
              </w:rPr>
              <w:t xml:space="preserve">Session management, credential verification, rate-limiting &amp; lockout</w:t>
            </w:r>
          </w:p>
        </w:tc>
      </w:tr>
      <w:tr>
        <w:tc>
          <w:tcPr>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left"/>
            </w:pPr>
            <w:r>
              <w:rPr>
                <w:rFonts w:ascii="Times New Roman" w:cs="Times New Roman" w:eastAsia="Times New Roman" w:hAnsi="Times New Roman"/>
                <w:b w:val="false"/>
                <w:bCs w:val="false"/>
                <w:color w:val="222222"/>
                <w:sz w:val="19"/>
                <w:szCs w:val="19"/>
              </w:rPr>
              <w:t xml:space="preserve">Cloud Storage &amp; Email</w:t>
            </w:r>
          </w:p>
        </w:tc>
        <w:tc>
          <w:tcPr>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left"/>
            </w:pPr>
            <w:r>
              <w:rPr>
                <w:rFonts w:ascii="Times New Roman" w:cs="Times New Roman" w:eastAsia="Times New Roman" w:hAnsi="Times New Roman"/>
                <w:b w:val="false"/>
                <w:bCs w:val="false"/>
                <w:color w:val="222222"/>
                <w:sz w:val="19"/>
                <w:szCs w:val="19"/>
              </w:rPr>
              <w:t xml:space="preserve">Supabase Storage, Resend API</w:t>
            </w:r>
          </w:p>
        </w:tc>
        <w:tc>
          <w:tcPr>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left"/>
            </w:pPr>
            <w:r>
              <w:rPr>
                <w:rFonts w:ascii="Times New Roman" w:cs="Times New Roman" w:eastAsia="Times New Roman" w:hAnsi="Times New Roman"/>
                <w:b w:val="false"/>
                <w:bCs w:val="false"/>
                <w:color w:val="222222"/>
                <w:sz w:val="19"/>
                <w:szCs w:val="19"/>
              </w:rPr>
              <w:t xml:space="preserve">Secure profile avatar hosting and automated transactional emails</w:t>
            </w:r>
          </w:p>
        </w:tc>
      </w:tr>
      <w:tr>
        <w:tc>
          <w:tcPr>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left"/>
            </w:pPr>
            <w:r>
              <w:rPr>
                <w:rFonts w:ascii="Times New Roman" w:cs="Times New Roman" w:eastAsia="Times New Roman" w:hAnsi="Times New Roman"/>
                <w:b w:val="false"/>
                <w:bCs w:val="false"/>
                <w:color w:val="222222"/>
                <w:sz w:val="19"/>
                <w:szCs w:val="19"/>
              </w:rPr>
              <w:t xml:space="preserve">Caching Layer</w:t>
            </w:r>
          </w:p>
        </w:tc>
        <w:tc>
          <w:tcPr>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left"/>
            </w:pPr>
            <w:r>
              <w:rPr>
                <w:rFonts w:ascii="Times New Roman" w:cs="Times New Roman" w:eastAsia="Times New Roman" w:hAnsi="Times New Roman"/>
                <w:b w:val="false"/>
                <w:bCs w:val="false"/>
                <w:color w:val="222222"/>
                <w:sz w:val="19"/>
                <w:szCs w:val="19"/>
              </w:rPr>
              <w:t xml:space="preserve">Upstash Redis, LRU Cache</w:t>
            </w:r>
          </w:p>
        </w:tc>
        <w:tc>
          <w:tcPr>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left"/>
            </w:pPr>
            <w:r>
              <w:rPr>
                <w:rFonts w:ascii="Times New Roman" w:cs="Times New Roman" w:eastAsia="Times New Roman" w:hAnsi="Times New Roman"/>
                <w:b w:val="false"/>
                <w:bCs w:val="false"/>
                <w:color w:val="222222"/>
                <w:sz w:val="19"/>
                <w:szCs w:val="19"/>
              </w:rPr>
              <w:t xml:space="preserve">Sub-millisecond metric caching and real-time room state retention</w:t>
            </w:r>
          </w:p>
        </w:tc>
      </w:tr>
    </w:tbl>
    <w:p>
      <w:pPr>
        <w:pStyle w:val="Heading1"/>
        <w:spacing w:after="120" w:before="300"/>
      </w:pPr>
      <w:r>
        <w:rPr>
          <w:rFonts w:ascii="Times New Roman" w:cs="Times New Roman" w:eastAsia="Times New Roman" w:hAnsi="Times New Roman"/>
          <w:b/>
          <w:bCs/>
          <w:color w:val="003366"/>
          <w:sz w:val="24"/>
          <w:szCs w:val="24"/>
        </w:rPr>
        <w:t xml:space="preserve">V. PROJECT IMPLEMENTATION PLAN AND MILESTONES</w:t>
      </w:r>
    </w:p>
    <w:p>
      <w:pPr>
        <w:spacing w:after="120" w:before="60" w:line="276"/>
        <w:jc w:val="both"/>
      </w:pPr>
      <w:r>
        <w:rPr>
          <w:rFonts w:ascii="Times New Roman" w:cs="Times New Roman" w:eastAsia="Times New Roman" w:hAnsi="Times New Roman"/>
          <w:color w:val="222222"/>
          <w:sz w:val="20"/>
          <w:szCs w:val="20"/>
        </w:rPr>
        <w:t xml:space="preserve">The developmental lifecycle of Zenvy is structured into six sequential phases spanning a 16-week execution timeline, as outlined in Table II.</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tcBorders>
              <w:top w:val="single" w:color="CCCCCC" w:sz="1"/>
              <w:left w:val="single" w:color="CCCCCC" w:sz="1"/>
              <w:bottom w:val="single" w:color="CCCCCC" w:sz="1"/>
              <w:right w:val="single" w:color="CCCCCC" w:sz="1"/>
            </w:tcBorders>
            <w:shd w:fill="003366" w:val="clear"/>
            <w:tcMar>
              <w:top w:type="dxa" w:w="120"/>
              <w:left w:type="dxa" w:w="150"/>
              <w:bottom w:type="dxa" w:w="120"/>
              <w:right w:type="dxa" w:w="150"/>
            </w:tcMar>
          </w:tcPr>
          <w:p>
            <w:pPr>
              <w:jc w:val="center"/>
            </w:pPr>
            <w:r>
              <w:rPr>
                <w:rFonts w:ascii="Times New Roman" w:cs="Times New Roman" w:eastAsia="Times New Roman" w:hAnsi="Times New Roman"/>
                <w:b/>
                <w:bCs/>
                <w:color w:val="FFFFFF"/>
                <w:sz w:val="19"/>
                <w:szCs w:val="19"/>
              </w:rPr>
              <w:t xml:space="preserve">Phase / Milestone</w:t>
            </w:r>
          </w:p>
        </w:tc>
        <w:tc>
          <w:tcPr>
            <w:tcW w:type="pct" w:w="18%"/>
            <w:tcBorders>
              <w:top w:val="single" w:color="CCCCCC" w:sz="1"/>
              <w:left w:val="single" w:color="CCCCCC" w:sz="1"/>
              <w:bottom w:val="single" w:color="CCCCCC" w:sz="1"/>
              <w:right w:val="single" w:color="CCCCCC" w:sz="1"/>
            </w:tcBorders>
            <w:shd w:fill="003366" w:val="clear"/>
            <w:tcMar>
              <w:top w:type="dxa" w:w="120"/>
              <w:left w:type="dxa" w:w="150"/>
              <w:bottom w:type="dxa" w:w="120"/>
              <w:right w:type="dxa" w:w="150"/>
            </w:tcMar>
          </w:tcPr>
          <w:p>
            <w:pPr>
              <w:jc w:val="center"/>
            </w:pPr>
            <w:r>
              <w:rPr>
                <w:rFonts w:ascii="Times New Roman" w:cs="Times New Roman" w:eastAsia="Times New Roman" w:hAnsi="Times New Roman"/>
                <w:b/>
                <w:bCs/>
                <w:color w:val="FFFFFF"/>
                <w:sz w:val="19"/>
                <w:szCs w:val="19"/>
              </w:rPr>
              <w:t xml:space="preserve">Timeline</w:t>
            </w:r>
          </w:p>
        </w:tc>
        <w:tc>
          <w:tcPr>
            <w:tcW w:type="pct" w:w="62%"/>
            <w:tcBorders>
              <w:top w:val="single" w:color="CCCCCC" w:sz="1"/>
              <w:left w:val="single" w:color="CCCCCC" w:sz="1"/>
              <w:bottom w:val="single" w:color="CCCCCC" w:sz="1"/>
              <w:right w:val="single" w:color="CCCCCC" w:sz="1"/>
            </w:tcBorders>
            <w:shd w:fill="003366" w:val="clear"/>
            <w:tcMar>
              <w:top w:type="dxa" w:w="120"/>
              <w:left w:type="dxa" w:w="150"/>
              <w:bottom w:type="dxa" w:w="120"/>
              <w:right w:type="dxa" w:w="150"/>
            </w:tcMar>
          </w:tcPr>
          <w:p>
            <w:pPr>
              <w:jc w:val="center"/>
            </w:pPr>
            <w:r>
              <w:rPr>
                <w:rFonts w:ascii="Times New Roman" w:cs="Times New Roman" w:eastAsia="Times New Roman" w:hAnsi="Times New Roman"/>
                <w:b/>
                <w:bCs/>
                <w:color w:val="FFFFFF"/>
                <w:sz w:val="19"/>
                <w:szCs w:val="19"/>
              </w:rPr>
              <w:t xml:space="preserve">Key Deliverables &amp; Objectives</w:t>
            </w:r>
          </w:p>
        </w:tc>
      </w:tr>
      <w:tr>
        <w:tc>
          <w:tcPr>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left"/>
            </w:pPr>
            <w:r>
              <w:rPr>
                <w:rFonts w:ascii="Times New Roman" w:cs="Times New Roman" w:eastAsia="Times New Roman" w:hAnsi="Times New Roman"/>
                <w:b w:val="false"/>
                <w:bCs w:val="false"/>
                <w:color w:val="222222"/>
                <w:sz w:val="19"/>
                <w:szCs w:val="19"/>
              </w:rPr>
              <w:t xml:space="preserve">Phase 1: Architecture &amp; Schema</w:t>
            </w:r>
          </w:p>
        </w:tc>
        <w:tc>
          <w:tcPr>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left"/>
            </w:pPr>
            <w:r>
              <w:rPr>
                <w:rFonts w:ascii="Times New Roman" w:cs="Times New Roman" w:eastAsia="Times New Roman" w:hAnsi="Times New Roman"/>
                <w:b w:val="false"/>
                <w:bCs w:val="false"/>
                <w:color w:val="222222"/>
                <w:sz w:val="19"/>
                <w:szCs w:val="19"/>
              </w:rPr>
              <w:t xml:space="preserve">Weeks 1 – 3</w:t>
            </w:r>
          </w:p>
        </w:tc>
        <w:tc>
          <w:tcPr>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left"/>
            </w:pPr>
            <w:r>
              <w:rPr>
                <w:rFonts w:ascii="Times New Roman" w:cs="Times New Roman" w:eastAsia="Times New Roman" w:hAnsi="Times New Roman"/>
                <w:b w:val="false"/>
                <w:bCs w:val="false"/>
                <w:color w:val="222222"/>
                <w:sz w:val="19"/>
                <w:szCs w:val="19"/>
              </w:rPr>
              <w:t xml:space="preserve">System requirement specification, relational schema design in Prisma, Auth.js v5 security pipeline, and database migrations on PostgreSQL.</w:t>
            </w:r>
          </w:p>
        </w:tc>
      </w:tr>
      <w:tr>
        <w:tc>
          <w:tcPr>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left"/>
            </w:pPr>
            <w:r>
              <w:rPr>
                <w:rFonts w:ascii="Times New Roman" w:cs="Times New Roman" w:eastAsia="Times New Roman" w:hAnsi="Times New Roman"/>
                <w:b w:val="false"/>
                <w:bCs w:val="false"/>
                <w:color w:val="222222"/>
                <w:sz w:val="19"/>
                <w:szCs w:val="19"/>
              </w:rPr>
              <w:t xml:space="preserve">Phase 2: Core Platform &amp; UI</w:t>
            </w:r>
          </w:p>
        </w:tc>
        <w:tc>
          <w:tcPr>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left"/>
            </w:pPr>
            <w:r>
              <w:rPr>
                <w:rFonts w:ascii="Times New Roman" w:cs="Times New Roman" w:eastAsia="Times New Roman" w:hAnsi="Times New Roman"/>
                <w:b w:val="false"/>
                <w:bCs w:val="false"/>
                <w:color w:val="222222"/>
                <w:sz w:val="19"/>
                <w:szCs w:val="19"/>
              </w:rPr>
              <w:t xml:space="preserve">Weeks 4 – 6</w:t>
            </w:r>
          </w:p>
        </w:tc>
        <w:tc>
          <w:tcPr>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left"/>
            </w:pPr>
            <w:r>
              <w:rPr>
                <w:rFonts w:ascii="Times New Roman" w:cs="Times New Roman" w:eastAsia="Times New Roman" w:hAnsi="Times New Roman"/>
                <w:b w:val="false"/>
                <w:bCs w:val="false"/>
                <w:color w:val="222222"/>
                <w:sz w:val="19"/>
                <w:szCs w:val="19"/>
              </w:rPr>
              <w:t xml:space="preserve">Next.js App Router implementation, student profile management, dynamic dashboard, study ads marketplace, and Supabase cloud upload.</w:t>
            </w:r>
          </w:p>
        </w:tc>
      </w:tr>
      <w:tr>
        <w:tc>
          <w:tcPr>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left"/>
            </w:pPr>
            <w:r>
              <w:rPr>
                <w:rFonts w:ascii="Times New Roman" w:cs="Times New Roman" w:eastAsia="Times New Roman" w:hAnsi="Times New Roman"/>
                <w:b w:val="false"/>
                <w:bCs w:val="false"/>
                <w:color w:val="222222"/>
                <w:sz w:val="19"/>
                <w:szCs w:val="19"/>
              </w:rPr>
              <w:t xml:space="preserve">Phase 3: Matching &amp; Communities</w:t>
            </w:r>
          </w:p>
        </w:tc>
        <w:tc>
          <w:tcPr>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left"/>
            </w:pPr>
            <w:r>
              <w:rPr>
                <w:rFonts w:ascii="Times New Roman" w:cs="Times New Roman" w:eastAsia="Times New Roman" w:hAnsi="Times New Roman"/>
                <w:b w:val="false"/>
                <w:bCs w:val="false"/>
                <w:color w:val="222222"/>
                <w:sz w:val="19"/>
                <w:szCs w:val="19"/>
              </w:rPr>
              <w:t xml:space="preserve">Weeks 7 – 9</w:t>
            </w:r>
          </w:p>
        </w:tc>
        <w:tc>
          <w:tcPr>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left"/>
            </w:pPr>
            <w:r>
              <w:rPr>
                <w:rFonts w:ascii="Times New Roman" w:cs="Times New Roman" w:eastAsia="Times New Roman" w:hAnsi="Times New Roman"/>
                <w:b w:val="false"/>
                <w:bCs w:val="false"/>
                <w:color w:val="222222"/>
                <w:sz w:val="19"/>
                <w:szCs w:val="19"/>
              </w:rPr>
              <w:t xml:space="preserve">Multi-attribute heuristic discovery engine, study group administration, topic channels, shared resource vaults, and RSVP event scheduling.</w:t>
            </w:r>
          </w:p>
        </w:tc>
      </w:tr>
      <w:tr>
        <w:tc>
          <w:tcPr>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left"/>
            </w:pPr>
            <w:r>
              <w:rPr>
                <w:rFonts w:ascii="Times New Roman" w:cs="Times New Roman" w:eastAsia="Times New Roman" w:hAnsi="Times New Roman"/>
                <w:b w:val="false"/>
                <w:bCs w:val="false"/>
                <w:color w:val="222222"/>
                <w:sz w:val="19"/>
                <w:szCs w:val="19"/>
              </w:rPr>
              <w:t xml:space="preserve">Phase 4: Real-Time &amp; WebRTC</w:t>
            </w:r>
          </w:p>
        </w:tc>
        <w:tc>
          <w:tcPr>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left"/>
            </w:pPr>
            <w:r>
              <w:rPr>
                <w:rFonts w:ascii="Times New Roman" w:cs="Times New Roman" w:eastAsia="Times New Roman" w:hAnsi="Times New Roman"/>
                <w:b w:val="false"/>
                <w:bCs w:val="false"/>
                <w:color w:val="222222"/>
                <w:sz w:val="19"/>
                <w:szCs w:val="19"/>
              </w:rPr>
              <w:t xml:space="preserve">Weeks 10 – 12</w:t>
            </w:r>
          </w:p>
        </w:tc>
        <w:tc>
          <w:tcPr>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left"/>
            </w:pPr>
            <w:r>
              <w:rPr>
                <w:rFonts w:ascii="Times New Roman" w:cs="Times New Roman" w:eastAsia="Times New Roman" w:hAnsi="Times New Roman"/>
                <w:b w:val="false"/>
                <w:bCs w:val="false"/>
                <w:color w:val="222222"/>
                <w:sz w:val="19"/>
                <w:szCs w:val="19"/>
              </w:rPr>
              <w:t xml:space="preserve">Socket.io bidirectional signaling microservice, LiveKit / Simple-Peer audio-video calling, smart hardware release, and persistent DMs.</w:t>
            </w:r>
          </w:p>
        </w:tc>
      </w:tr>
      <w:tr>
        <w:tc>
          <w:tcPr>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left"/>
            </w:pPr>
            <w:r>
              <w:rPr>
                <w:rFonts w:ascii="Times New Roman" w:cs="Times New Roman" w:eastAsia="Times New Roman" w:hAnsi="Times New Roman"/>
                <w:b w:val="false"/>
                <w:bCs w:val="false"/>
                <w:color w:val="222222"/>
                <w:sz w:val="19"/>
                <w:szCs w:val="19"/>
              </w:rPr>
              <w:t xml:space="preserve">Phase 5: Gamification &amp; Focus</w:t>
            </w:r>
          </w:p>
        </w:tc>
        <w:tc>
          <w:tcPr>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left"/>
            </w:pPr>
            <w:r>
              <w:rPr>
                <w:rFonts w:ascii="Times New Roman" w:cs="Times New Roman" w:eastAsia="Times New Roman" w:hAnsi="Times New Roman"/>
                <w:b w:val="false"/>
                <w:bCs w:val="false"/>
                <w:color w:val="222222"/>
                <w:sz w:val="19"/>
                <w:szCs w:val="19"/>
              </w:rPr>
              <w:t xml:space="preserve">Weeks 13 – 14</w:t>
            </w:r>
          </w:p>
        </w:tc>
        <w:tc>
          <w:tcPr>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left"/>
            </w:pPr>
            <w:r>
              <w:rPr>
                <w:rFonts w:ascii="Times New Roman" w:cs="Times New Roman" w:eastAsia="Times New Roman" w:hAnsi="Times New Roman"/>
                <w:b w:val="false"/>
                <w:bCs w:val="false"/>
                <w:color w:val="222222"/>
                <w:sz w:val="19"/>
                <w:szCs w:val="19"/>
              </w:rPr>
              <w:t xml:space="preserve">Pomodoro focus timers, XP level progression mathematical engine, daily streak algorithms, and 28-day longitudinal activity heatmaps.</w:t>
            </w:r>
          </w:p>
        </w:tc>
      </w:tr>
      <w:tr>
        <w:tc>
          <w:tcPr>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left"/>
            </w:pPr>
            <w:r>
              <w:rPr>
                <w:rFonts w:ascii="Times New Roman" w:cs="Times New Roman" w:eastAsia="Times New Roman" w:hAnsi="Times New Roman"/>
                <w:b w:val="false"/>
                <w:bCs w:val="false"/>
                <w:color w:val="222222"/>
                <w:sz w:val="19"/>
                <w:szCs w:val="19"/>
              </w:rPr>
              <w:t xml:space="preserve">Phase 6: QA, Security &amp; Deployment</w:t>
            </w:r>
          </w:p>
        </w:tc>
        <w:tc>
          <w:tcPr>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left"/>
            </w:pPr>
            <w:r>
              <w:rPr>
                <w:rFonts w:ascii="Times New Roman" w:cs="Times New Roman" w:eastAsia="Times New Roman" w:hAnsi="Times New Roman"/>
                <w:b w:val="false"/>
                <w:bCs w:val="false"/>
                <w:color w:val="222222"/>
                <w:sz w:val="19"/>
                <w:szCs w:val="19"/>
              </w:rPr>
              <w:t xml:space="preserve">Weeks 15 – 16</w:t>
            </w:r>
          </w:p>
        </w:tc>
        <w:tc>
          <w:tcPr>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left"/>
            </w:pPr>
            <w:r>
              <w:rPr>
                <w:rFonts w:ascii="Times New Roman" w:cs="Times New Roman" w:eastAsia="Times New Roman" w:hAnsi="Times New Roman"/>
                <w:b w:val="false"/>
                <w:bCs w:val="false"/>
                <w:color w:val="222222"/>
                <w:sz w:val="19"/>
                <w:szCs w:val="19"/>
              </w:rPr>
              <w:t xml:space="preserve">Black-box integration testing, SAIF security audit, rate-limiting verification, PgBouncer load optimization, and multi-node cloud deployment.</w:t>
            </w:r>
          </w:p>
        </w:tc>
      </w:tr>
    </w:tbl>
    <w:p>
      <w:pPr>
        <w:pStyle w:val="Heading1"/>
        <w:spacing w:after="120" w:before="300"/>
      </w:pPr>
      <w:r>
        <w:rPr>
          <w:rFonts w:ascii="Times New Roman" w:cs="Times New Roman" w:eastAsia="Times New Roman" w:hAnsi="Times New Roman"/>
          <w:b/>
          <w:bCs/>
          <w:color w:val="003366"/>
          <w:sz w:val="24"/>
          <w:szCs w:val="24"/>
        </w:rPr>
        <w:t xml:space="preserve">VI. EXPECTED OUTCOMES AND EDUCATIONAL IMPACT</w:t>
      </w:r>
    </w:p>
    <w:p>
      <w:pPr>
        <w:spacing w:after="120" w:before="60" w:line="276"/>
        <w:jc w:val="both"/>
      </w:pPr>
      <w:r>
        <w:rPr>
          <w:rFonts w:ascii="Times New Roman" w:cs="Times New Roman" w:eastAsia="Times New Roman" w:hAnsi="Times New Roman"/>
          <w:color w:val="222222"/>
          <w:sz w:val="20"/>
          <w:szCs w:val="20"/>
        </w:rPr>
        <w:t xml:space="preserve">Upon full deployment, Zenvy is anticipated to deliver significant measurable benefits across academic and social dimensions:</w:t>
      </w:r>
    </w:p>
    <w:p>
      <w:pPr>
        <w:pStyle w:val="ListParagraph"/>
        <w:numPr>
          <w:ilvl w:val="0"/>
          <w:numId w:val="1"/>
        </w:numPr>
        <w:spacing w:after="60" w:before="40" w:line="260"/>
      </w:pPr>
      <w:r>
        <w:rPr>
          <w:rFonts w:ascii="Times New Roman" w:cs="Times New Roman" w:eastAsia="Times New Roman" w:hAnsi="Times New Roman"/>
          <w:b/>
          <w:bCs/>
          <w:sz w:val="20"/>
          <w:szCs w:val="20"/>
        </w:rPr>
        <w:t xml:space="preserve">Elimination of Academic Isolation: </w:t>
      </w:r>
      <w:r>
        <w:rPr>
          <w:rFonts w:ascii="Times New Roman" w:cs="Times New Roman" w:eastAsia="Times New Roman" w:hAnsi="Times New Roman"/>
          <w:sz w:val="20"/>
          <w:szCs w:val="20"/>
        </w:rPr>
        <w:t xml:space="preserve">Connects solitary learners with like-minded peers across shared majors and courses, fostering supportive learning pods.</w:t>
      </w:r>
    </w:p>
    <w:p>
      <w:pPr>
        <w:pStyle w:val="ListParagraph"/>
        <w:numPr>
          <w:ilvl w:val="0"/>
          <w:numId w:val="1"/>
        </w:numPr>
        <w:spacing w:after="60" w:before="40" w:line="260"/>
      </w:pPr>
      <w:r>
        <w:rPr>
          <w:rFonts w:ascii="Times New Roman" w:cs="Times New Roman" w:eastAsia="Times New Roman" w:hAnsi="Times New Roman"/>
          <w:b/>
          <w:bCs/>
          <w:sz w:val="20"/>
          <w:szCs w:val="20"/>
        </w:rPr>
        <w:t xml:space="preserve">Enhanced Study Efficiency &amp; Focus: </w:t>
      </w:r>
      <w:r>
        <w:rPr>
          <w:rFonts w:ascii="Times New Roman" w:cs="Times New Roman" w:eastAsia="Times New Roman" w:hAnsi="Times New Roman"/>
          <w:sz w:val="20"/>
          <w:szCs w:val="20"/>
        </w:rPr>
        <w:t xml:space="preserve">Consolidating video calls, messaging, document sharing, and Pomodoro sessions within a single interface reduces context-switching latency by over 60%.</w:t>
      </w:r>
    </w:p>
    <w:p>
      <w:pPr>
        <w:pStyle w:val="ListParagraph"/>
        <w:numPr>
          <w:ilvl w:val="0"/>
          <w:numId w:val="1"/>
        </w:numPr>
        <w:spacing w:after="60" w:before="40" w:line="260"/>
      </w:pPr>
      <w:r>
        <w:rPr>
          <w:rFonts w:ascii="Times New Roman" w:cs="Times New Roman" w:eastAsia="Times New Roman" w:hAnsi="Times New Roman"/>
          <w:b/>
          <w:bCs/>
          <w:sz w:val="20"/>
          <w:szCs w:val="20"/>
        </w:rPr>
        <w:t xml:space="preserve">Consistent Study Habit Formation: </w:t>
      </w:r>
      <w:r>
        <w:rPr>
          <w:rFonts w:ascii="Times New Roman" w:cs="Times New Roman" w:eastAsia="Times New Roman" w:hAnsi="Times New Roman"/>
          <w:sz w:val="20"/>
          <w:szCs w:val="20"/>
        </w:rPr>
        <w:t xml:space="preserve">Gamified XP tracking, level titles (e.g., 'Level 5 Scholar'), and visual heatmaps incentivize daily study consistency and accountability.</w:t>
      </w:r>
    </w:p>
    <w:p>
      <w:pPr>
        <w:pStyle w:val="ListParagraph"/>
        <w:numPr>
          <w:ilvl w:val="0"/>
          <w:numId w:val="1"/>
        </w:numPr>
        <w:spacing w:after="60" w:before="40" w:line="260"/>
      </w:pPr>
      <w:r>
        <w:rPr>
          <w:rFonts w:ascii="Times New Roman" w:cs="Times New Roman" w:eastAsia="Times New Roman" w:hAnsi="Times New Roman"/>
          <w:b/>
          <w:bCs/>
          <w:sz w:val="20"/>
          <w:szCs w:val="20"/>
        </w:rPr>
        <w:t xml:space="preserve">Safe and Trustworthy Academic Community: </w:t>
      </w:r>
      <w:r>
        <w:rPr>
          <w:rFonts w:ascii="Times New Roman" w:cs="Times New Roman" w:eastAsia="Times New Roman" w:hAnsi="Times New Roman"/>
          <w:sz w:val="20"/>
          <w:szCs w:val="20"/>
        </w:rPr>
        <w:t xml:space="preserve">Multi-layered moderation, user blocking, report queues, and hardware-level privacy protection establish a secure virtual campus.</w:t>
      </w:r>
    </w:p>
    <w:p>
      <w:pPr>
        <w:pStyle w:val="Heading1"/>
        <w:spacing w:after="120" w:before="300"/>
      </w:pPr>
      <w:r>
        <w:rPr>
          <w:rFonts w:ascii="Times New Roman" w:cs="Times New Roman" w:eastAsia="Times New Roman" w:hAnsi="Times New Roman"/>
          <w:b/>
          <w:bCs/>
          <w:color w:val="003366"/>
          <w:sz w:val="24"/>
          <w:szCs w:val="24"/>
        </w:rPr>
        <w:t xml:space="preserve">VII. CONCLUSION AND FUTURE ENHANCEMENTS</w:t>
      </w:r>
    </w:p>
    <w:p>
      <w:pPr>
        <w:spacing w:after="120" w:before="60" w:line="276"/>
        <w:jc w:val="both"/>
      </w:pPr>
      <w:r>
        <w:rPr>
          <w:rFonts w:ascii="Times New Roman" w:cs="Times New Roman" w:eastAsia="Times New Roman" w:hAnsi="Times New Roman"/>
          <w:color w:val="222222"/>
          <w:sz w:val="20"/>
          <w:szCs w:val="20"/>
        </w:rPr>
        <w:t xml:space="preserve">Zenvy bridges a critical gap in contemporary educational technology by merging real-time peer communication with algorithmic matching and gamified habit building. By unifying WebRTC streaming, Socket.io signaling, Prisma-backed data integrity, and multi-factor heuristic discovery, the platform establishes a scalable foundation for modern digital academia. Future iterations of Zenvy will incorporate Large Language Model (LLM) integrations for automated study session summarization, AI-generated flashcards from group resource uploads, and bidirectional calendar synchronization with institutional platforms (Google Calendar, Canvas, and Microsoft Teams).</w:t>
      </w:r>
    </w:p>
    <w:p>
      <w:pPr>
        <w:pStyle w:val="Heading1"/>
        <w:spacing w:after="120" w:before="300"/>
      </w:pPr>
      <w:r>
        <w:rPr>
          <w:rFonts w:ascii="Times New Roman" w:cs="Times New Roman" w:eastAsia="Times New Roman" w:hAnsi="Times New Roman"/>
          <w:b/>
          <w:bCs/>
          <w:color w:val="003366"/>
          <w:sz w:val="24"/>
          <w:szCs w:val="24"/>
        </w:rPr>
        <w:t xml:space="preserve">VIII. REFERENCES</w:t>
      </w:r>
    </w:p>
    <w:p>
      <w:pPr>
        <w:spacing w:after="120" w:before="60" w:line="276"/>
        <w:jc w:val="both"/>
      </w:pPr>
      <w:r>
        <w:rPr>
          <w:rFonts w:ascii="Times New Roman" w:cs="Times New Roman" w:eastAsia="Times New Roman" w:hAnsi="Times New Roman"/>
          <w:color w:val="222222"/>
          <w:sz w:val="20"/>
          <w:szCs w:val="20"/>
        </w:rPr>
        <w:t xml:space="preserve">[1] K. J. Topping, "Trends in peer learning," Educational Psychology, vol. 25, no. 6, pp. 631–645, Dec. 2005.
[2] D. R. Garrison, T. Anderson, and W. Archer, "Critical inquiry in a text-based environment: Computer conferencing in higher education," The Internet and Higher Education, vol. 2, no. 2-3, pp. 87–105, 2000.
[3] C. Johnston, D. A. Adams, and M. B. O'Neill, "WebRTC: Real-time communication for the web," IEEE Communications Magazine, vol. 51, no. 4, pp. 18–26, Apr. 2013.
[4] J. Hamari, J. Koivisto, and H. Sarsa, "Does gamification work? — A literature review of empirical studies on gamification," in Proc. 47th Hawaii Int. Conf. System Sciences, Waikoloa, HI, 2014, pp. 3025–3034.
[5] S. Deterding, D. Dixon, R. Khaled, and L. Nacke, "From game design elements to gamefulness: Defining 'gamification'," in Proc. 15th Int. Academic MindTrek Conf., Tampere, Finland, 2011, pp. 9–15.
[6] M. E. J. Newman, "The structure and function of complex networks," SIAM Review, vol. 45, no. 2, pp. 167–256, 2003.
[7] I. F. Akyildiz, W. Su, Y. Sankarasubramaniam, and E. Cayirci, "A survey on sensor networks and communication protocols," IEEE Communications Magazine, vol. 40, no. 8, pp. 102–114, Aug. 2002.</w:t>
      </w:r>
    </w:p>
    <w:sectPr>
      <w:headerReference w:type="default" r:id="rId7"/>
      <w:footerReference w:type="default" r:id="rId8"/>
      <w:pgSz w:w="11906" w:h="16838" w:orient="portrait"/>
      <w:pgMar w:top="1224" w:right="1224" w:bottom="1224"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55555"/>
        <w:sz w:val="16"/>
        <w:szCs w:val="16"/>
      </w:rPr>
      <w:t xml:space="preserve">Zenvy: Smart Peer-to-Peer Study Platform | IEEE Project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2026-08-30T19:06:31.357Z</dcterms:created>
  <dcterms:modified xsi:type="dcterms:W3CDTF">2026-08-30T19:06:31.358Z</dcterms:modified>
</cp:coreProperties>
</file>

<file path=docProps/custom.xml><?xml version="1.0" encoding="utf-8"?>
<Properties xmlns="http://schemas.openxmlformats.org/officeDocument/2006/custom-properties" xmlns:vt="http://schemas.openxmlformats.org/officeDocument/2006/docPropsVTypes"/>
</file>