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0F172A"/>
          <w:sz w:val="52"/>
        </w:rPr>
        <w:t>Tariff Calculation Bands</w:t>
      </w:r>
    </w:p>
    <w:p>
      <w:pPr>
        <w:spacing w:before="120"/>
        <w:jc w:val="center"/>
      </w:pPr>
      <w:r>
        <w:rPr>
          <w:color w:val="6B7280"/>
          <w:sz w:val="26"/>
        </w:rPr>
        <w:t>Energy Sharing Project  —  Implementation Reference</w:t>
      </w:r>
    </w:p>
    <w:p/>
    <w:p>
      <w:pPr>
        <w:spacing w:before="80" w:after="80"/>
        <w:pBdr>
          <w:bottom w:val="single" w:sz="4" w:space="1" w:color="CBD5E1"/>
        </w:pBdr>
      </w:pPr>
    </w:p>
    <w:p/>
    <w:p>
      <w:pPr>
        <w:spacing w:before="400" w:after="120"/>
      </w:pPr>
      <w:r>
        <w:rPr>
          <w:b/>
          <w:color w:val="0F172A"/>
          <w:sz w:val="32"/>
        </w:rPr>
        <w:t>1.  Overview</w:t>
      </w:r>
    </w:p>
    <w:p>
      <w:pPr>
        <w:spacing w:after="120"/>
      </w:pPr>
      <w:r>
        <w:rPr>
          <w:sz w:val="22"/>
        </w:rPr>
        <w:t>The Energy Sharing Project uses a tiered (banded) electricity tariff system to convert loan amounts into electricity units (kWh) and vice versa. Instead of a single flat rate, different price rates apply depending on how many units fall within each consumption band. This mirrors Uganda's ERA stepped-tariff structure which is designed to protect low-income households while recovering costs from higher consumers.</w:t>
      </w:r>
    </w:p>
    <w:p>
      <w:pPr>
        <w:spacing w:after="120"/>
      </w:pPr>
      <w:r>
        <w:rPr>
          <w:sz w:val="22"/>
        </w:rPr>
        <w:t>Tariff data is stored in the database and is fully manageable by admins — rates and band boundaries can be changed without touching the source code, allowing the system to stay in sync whenever ERA issues a new quarterly tariff review.</w:t>
      </w:r>
    </w:p>
    <w:p>
      <w:pPr>
        <w:spacing w:before="400" w:after="120"/>
      </w:pPr>
      <w:r>
        <w:rPr>
          <w:b/>
          <w:color w:val="0F172A"/>
          <w:sz w:val="32"/>
        </w:rPr>
        <w:t>2.  Uganda's ERA Tariff System</w:t>
      </w:r>
    </w:p>
    <w:p>
      <w:pPr>
        <w:spacing w:before="240" w:after="80"/>
      </w:pPr>
      <w:r>
        <w:rPr>
          <w:b/>
          <w:color w:val="1D4ED8"/>
          <w:sz w:val="26"/>
        </w:rPr>
        <w:t>2.1  Regulatory Framework</w:t>
      </w:r>
    </w:p>
    <w:p>
      <w:pPr>
        <w:spacing w:after="120"/>
      </w:pPr>
      <w:r>
        <w:rPr>
          <w:sz w:val="22"/>
        </w:rPr>
        <w:t>Electricity tariffs in Uganda are set and reviewed quarterly by the Electricity Regulatory Authority (ERA), the independent statutory body established under the Electricity Act (Cap. 145). ERA balances the financial sustainability of the distribution utility against affordability for consumers, especially the poor.</w:t>
      </w:r>
    </w:p>
    <w:p>
      <w:pPr>
        <w:spacing w:after="120"/>
      </w:pPr>
      <w:r>
        <w:rPr>
          <w:sz w:val="22"/>
        </w:rPr>
        <w:t>Distribution was previously managed by Umeme Limited. As of 2025, Uganda Electricity Distribution Company Limited (UEDCL) took over distribution operations. ERA sets the end-user tariff; UEDCL collects it.</w:t>
      </w:r>
    </w:p>
    <w:p>
      <w:pPr>
        <w:pStyle w:val="ListBullet"/>
        <w:spacing w:after="60"/>
      </w:pPr>
      <w:r>
        <w:rPr>
          <w:sz w:val="22"/>
        </w:rPr>
        <w:t>ERA conducts public hearings before every annual tariff review.</w:t>
      </w:r>
    </w:p>
    <w:p>
      <w:pPr>
        <w:pStyle w:val="ListBullet"/>
        <w:spacing w:after="60"/>
      </w:pPr>
      <w:r>
        <w:rPr>
          <w:sz w:val="22"/>
        </w:rPr>
        <w:t>Quarterly adjustments account for fuel prices, exchange rates, and inflation (core CPI).</w:t>
      </w:r>
    </w:p>
    <w:p>
      <w:pPr>
        <w:pStyle w:val="ListBullet"/>
        <w:spacing w:after="60"/>
      </w:pPr>
      <w:r>
        <w:rPr>
          <w:sz w:val="22"/>
        </w:rPr>
        <w:t>Q1 2026 tariffs are 14% lower than 2024 levels — a result of a stronger shilling and increased hydroelectric generation.</w:t>
      </w:r>
    </w:p>
    <w:p>
      <w:pPr>
        <w:spacing w:before="240" w:after="80"/>
      </w:pPr>
      <w:r>
        <w:rPr>
          <w:b/>
          <w:color w:val="1D4ED8"/>
          <w:sz w:val="26"/>
        </w:rPr>
        <w:t>2.2  Domestic Consumer Tariff  —  CODE 10.1  (Current Q1 2026)</w:t>
      </w:r>
    </w:p>
    <w:p>
      <w:pPr>
        <w:spacing w:after="120"/>
      </w:pPr>
      <w:r>
        <w:rPr>
          <w:sz w:val="22"/>
        </w:rPr>
        <w:t>This is the tariff for low-voltage single-phase domestic consumers (240 V supply). It is a four-band stepped structure. Each band has a distinct policy rationale.</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tcPr>
          <w:p/>
        </w:tc>
        <w:tc>
          <w:tcPr>
            <w:tcW w:type="dxa" w:w="1813"/>
          </w:tcPr>
          <w:p/>
        </w:tc>
        <w:tc>
          <w:tcPr>
            <w:tcW w:type="dxa" w:w="1813"/>
          </w:tcPr>
          <w:p/>
        </w:tc>
        <w:tc>
          <w:tcPr>
            <w:tcW w:type="dxa" w:w="1813"/>
          </w:tcPr>
          <w:p/>
        </w:tc>
        <w:tc>
          <w:tcPr>
            <w:tcW w:type="dxa" w:w="1813"/>
          </w:tcPr>
          <w:p/>
        </w:tc>
      </w:tr>
      <w:tr>
        <w:tc>
          <w:tcPr>
            <w:tcW w:type="dxa" w:w="1813"/>
            <w:vAlign w:val="center"/>
            <w:shd w:val="clear" w:color="auto" w:fill="0F172A"/>
          </w:tcPr>
          <w:p>
            <w:pPr>
              <w:spacing w:after="60" w:before="60"/>
            </w:pPr>
            <w:r>
              <w:rPr>
                <w:b/>
                <w:color w:val="FFFFFF"/>
                <w:sz w:val="20"/>
              </w:rPr>
              <w:t>Block</w:t>
            </w:r>
          </w:p>
        </w:tc>
        <w:tc>
          <w:tcPr>
            <w:tcW w:type="dxa" w:w="1813"/>
            <w:vAlign w:val="center"/>
            <w:shd w:val="clear" w:color="auto" w:fill="0F172A"/>
          </w:tcPr>
          <w:p>
            <w:pPr>
              <w:spacing w:after="60" w:before="60"/>
            </w:pPr>
            <w:r>
              <w:rPr>
                <w:b/>
                <w:color w:val="FFFFFF"/>
                <w:sz w:val="20"/>
              </w:rPr>
              <w:t>Consumption Band</w:t>
            </w:r>
          </w:p>
        </w:tc>
        <w:tc>
          <w:tcPr>
            <w:tcW w:type="dxa" w:w="1813"/>
            <w:vAlign w:val="center"/>
            <w:shd w:val="clear" w:color="auto" w:fill="0F172A"/>
          </w:tcPr>
          <w:p>
            <w:pPr>
              <w:spacing w:after="60" w:before="60"/>
            </w:pPr>
            <w:r>
              <w:rPr>
                <w:b/>
                <w:color w:val="FFFFFF"/>
                <w:sz w:val="20"/>
              </w:rPr>
              <w:t>Rate (UGX/kWh)</w:t>
            </w:r>
          </w:p>
        </w:tc>
        <w:tc>
          <w:tcPr>
            <w:tcW w:type="dxa" w:w="1813"/>
            <w:vAlign w:val="center"/>
            <w:shd w:val="clear" w:color="auto" w:fill="0F172A"/>
          </w:tcPr>
          <w:p>
            <w:pPr>
              <w:spacing w:after="60" w:before="60"/>
            </w:pPr>
            <w:r>
              <w:rPr>
                <w:b/>
                <w:color w:val="FFFFFF"/>
                <w:sz w:val="20"/>
              </w:rPr>
              <w:t>Band Name</w:t>
            </w:r>
          </w:p>
        </w:tc>
        <w:tc>
          <w:tcPr>
            <w:tcW w:type="dxa" w:w="1813"/>
            <w:vAlign w:val="center"/>
            <w:shd w:val="clear" w:color="auto" w:fill="0F172A"/>
          </w:tcPr>
          <w:p>
            <w:pPr>
              <w:spacing w:after="60" w:before="60"/>
            </w:pPr>
            <w:r>
              <w:rPr>
                <w:b/>
                <w:color w:val="FFFFFF"/>
                <w:sz w:val="20"/>
              </w:rPr>
              <w:t>Policy Rationale</w:t>
            </w:r>
          </w:p>
        </w:tc>
      </w:tr>
      <w:tr>
        <w:tc>
          <w:tcPr>
            <w:tcW w:type="dxa" w:w="1813"/>
            <w:vAlign w:val="center"/>
          </w:tcPr>
          <w:p>
            <w:pPr>
              <w:spacing w:after="60" w:before="60"/>
            </w:pPr>
            <w:r>
              <w:rPr>
                <w:sz w:val="20"/>
              </w:rPr>
              <w:t>1</w:t>
            </w:r>
          </w:p>
        </w:tc>
        <w:tc>
          <w:tcPr>
            <w:tcW w:type="dxa" w:w="1813"/>
            <w:vAlign w:val="center"/>
          </w:tcPr>
          <w:p>
            <w:pPr>
              <w:spacing w:after="60" w:before="60"/>
            </w:pPr>
            <w:r>
              <w:rPr>
                <w:sz w:val="20"/>
              </w:rPr>
              <w:t>0 – 15 kWh/month</w:t>
            </w:r>
          </w:p>
        </w:tc>
        <w:tc>
          <w:tcPr>
            <w:tcW w:type="dxa" w:w="1813"/>
            <w:vAlign w:val="center"/>
          </w:tcPr>
          <w:p>
            <w:pPr>
              <w:spacing w:after="60" w:before="60"/>
            </w:pPr>
            <w:r>
              <w:rPr>
                <w:sz w:val="20"/>
              </w:rPr>
              <w:t>250.00</w:t>
            </w:r>
          </w:p>
        </w:tc>
        <w:tc>
          <w:tcPr>
            <w:tcW w:type="dxa" w:w="1813"/>
            <w:vAlign w:val="center"/>
          </w:tcPr>
          <w:p>
            <w:pPr>
              <w:spacing w:after="60" w:before="60"/>
            </w:pPr>
            <w:r>
              <w:rPr>
                <w:sz w:val="20"/>
              </w:rPr>
              <w:t>Lifeline Tariff</w:t>
            </w:r>
          </w:p>
        </w:tc>
        <w:tc>
          <w:tcPr>
            <w:tcW w:type="dxa" w:w="1813"/>
            <w:vAlign w:val="center"/>
          </w:tcPr>
          <w:p>
            <w:pPr>
              <w:spacing w:after="60" w:before="60"/>
            </w:pPr>
            <w:r>
              <w:rPr>
                <w:sz w:val="20"/>
              </w:rPr>
              <w:t>Heavily subsidised — protects low-income and rural households from energy poverty</w:t>
            </w:r>
          </w:p>
        </w:tc>
      </w:tr>
      <w:tr>
        <w:tc>
          <w:tcPr>
            <w:tcW w:type="dxa" w:w="1813"/>
            <w:vAlign w:val="center"/>
          </w:tcPr>
          <w:p>
            <w:pPr>
              <w:spacing w:after="60" w:before="60"/>
            </w:pPr>
            <w:r>
              <w:rPr>
                <w:sz w:val="20"/>
              </w:rPr>
              <w:t>2</w:t>
            </w:r>
          </w:p>
        </w:tc>
        <w:tc>
          <w:tcPr>
            <w:tcW w:type="dxa" w:w="1813"/>
            <w:vAlign w:val="center"/>
          </w:tcPr>
          <w:p>
            <w:pPr>
              <w:spacing w:after="60" w:before="60"/>
            </w:pPr>
            <w:r>
              <w:rPr>
                <w:sz w:val="20"/>
              </w:rPr>
              <w:t>16 – 80 kWh/month</w:t>
            </w:r>
          </w:p>
        </w:tc>
        <w:tc>
          <w:tcPr>
            <w:tcW w:type="dxa" w:w="1813"/>
            <w:vAlign w:val="center"/>
          </w:tcPr>
          <w:p>
            <w:pPr>
              <w:spacing w:after="60" w:before="60"/>
            </w:pPr>
            <w:r>
              <w:rPr>
                <w:sz w:val="20"/>
              </w:rPr>
              <w:t>756.20</w:t>
            </w:r>
          </w:p>
        </w:tc>
        <w:tc>
          <w:tcPr>
            <w:tcW w:type="dxa" w:w="1813"/>
            <w:vAlign w:val="center"/>
          </w:tcPr>
          <w:p>
            <w:pPr>
              <w:spacing w:after="60" w:before="60"/>
            </w:pPr>
            <w:r>
              <w:rPr>
                <w:sz w:val="20"/>
              </w:rPr>
              <w:t>Standard Domestic</w:t>
            </w:r>
          </w:p>
        </w:tc>
        <w:tc>
          <w:tcPr>
            <w:tcW w:type="dxa" w:w="1813"/>
            <w:vAlign w:val="center"/>
          </w:tcPr>
          <w:p>
            <w:pPr>
              <w:spacing w:after="60" w:before="60"/>
            </w:pPr>
            <w:r>
              <w:rPr>
                <w:sz w:val="20"/>
              </w:rPr>
              <w:t>Full cost-recovery rate for average household consumption</w:t>
            </w:r>
          </w:p>
        </w:tc>
      </w:tr>
      <w:tr>
        <w:tc>
          <w:tcPr>
            <w:tcW w:type="dxa" w:w="1813"/>
            <w:vAlign w:val="center"/>
          </w:tcPr>
          <w:p>
            <w:pPr>
              <w:spacing w:after="60" w:before="60"/>
            </w:pPr>
            <w:r>
              <w:rPr>
                <w:sz w:val="20"/>
              </w:rPr>
              <w:t>3</w:t>
            </w:r>
          </w:p>
        </w:tc>
        <w:tc>
          <w:tcPr>
            <w:tcW w:type="dxa" w:w="1813"/>
            <w:vAlign w:val="center"/>
          </w:tcPr>
          <w:p>
            <w:pPr>
              <w:spacing w:after="60" w:before="60"/>
            </w:pPr>
            <w:r>
              <w:rPr>
                <w:sz w:val="20"/>
              </w:rPr>
              <w:t>81 – 150 kWh/month</w:t>
            </w:r>
          </w:p>
        </w:tc>
        <w:tc>
          <w:tcPr>
            <w:tcW w:type="dxa" w:w="1813"/>
            <w:vAlign w:val="center"/>
          </w:tcPr>
          <w:p>
            <w:pPr>
              <w:spacing w:after="60" w:before="60"/>
            </w:pPr>
            <w:r>
              <w:rPr>
                <w:sz w:val="20"/>
              </w:rPr>
              <w:t>412.00</w:t>
            </w:r>
          </w:p>
        </w:tc>
        <w:tc>
          <w:tcPr>
            <w:tcW w:type="dxa" w:w="1813"/>
            <w:vAlign w:val="center"/>
          </w:tcPr>
          <w:p>
            <w:pPr>
              <w:spacing w:after="60" w:before="60"/>
            </w:pPr>
            <w:r>
              <w:rPr>
                <w:sz w:val="20"/>
              </w:rPr>
              <w:t>Cooking Incentive</w:t>
            </w:r>
          </w:p>
        </w:tc>
        <w:tc>
          <w:tcPr>
            <w:tcW w:type="dxa" w:w="1813"/>
            <w:vAlign w:val="center"/>
          </w:tcPr>
          <w:p>
            <w:pPr>
              <w:spacing w:after="60" w:before="60"/>
            </w:pPr>
            <w:r>
              <w:rPr>
                <w:sz w:val="20"/>
              </w:rPr>
              <w:t>Discounted to incentivise shift from charcoal/kerosene to electric cooking (reduces deforestation)</w:t>
            </w:r>
          </w:p>
        </w:tc>
      </w:tr>
      <w:tr>
        <w:tc>
          <w:tcPr>
            <w:tcW w:type="dxa" w:w="1813"/>
            <w:vAlign w:val="center"/>
          </w:tcPr>
          <w:p>
            <w:pPr>
              <w:spacing w:after="60" w:before="60"/>
            </w:pPr>
            <w:r>
              <w:rPr>
                <w:sz w:val="20"/>
              </w:rPr>
              <w:t>4</w:t>
            </w:r>
          </w:p>
        </w:tc>
        <w:tc>
          <w:tcPr>
            <w:tcW w:type="dxa" w:w="1813"/>
            <w:vAlign w:val="center"/>
          </w:tcPr>
          <w:p>
            <w:pPr>
              <w:spacing w:after="60" w:before="60"/>
            </w:pPr>
            <w:r>
              <w:rPr>
                <w:sz w:val="20"/>
              </w:rPr>
              <w:t>151+ kWh/month</w:t>
            </w:r>
          </w:p>
        </w:tc>
        <w:tc>
          <w:tcPr>
            <w:tcW w:type="dxa" w:w="1813"/>
            <w:vAlign w:val="center"/>
          </w:tcPr>
          <w:p>
            <w:pPr>
              <w:spacing w:after="60" w:before="60"/>
            </w:pPr>
            <w:r>
              <w:rPr>
                <w:sz w:val="20"/>
              </w:rPr>
              <w:t>756.20</w:t>
            </w:r>
          </w:p>
        </w:tc>
        <w:tc>
          <w:tcPr>
            <w:tcW w:type="dxa" w:w="1813"/>
            <w:vAlign w:val="center"/>
          </w:tcPr>
          <w:p>
            <w:pPr>
              <w:spacing w:after="60" w:before="60"/>
            </w:pPr>
            <w:r>
              <w:rPr>
                <w:sz w:val="20"/>
              </w:rPr>
              <w:t>High Consumption</w:t>
            </w:r>
          </w:p>
        </w:tc>
        <w:tc>
          <w:tcPr>
            <w:tcW w:type="dxa" w:w="1813"/>
            <w:vAlign w:val="center"/>
          </w:tcPr>
          <w:p>
            <w:pPr>
              <w:spacing w:after="60" w:before="60"/>
            </w:pPr>
            <w:r>
              <w:rPr>
                <w:sz w:val="20"/>
              </w:rPr>
              <w:t>Returns to full rate — heavy users (appliance-rich households) cross-subsidise the lifeline band</w:t>
            </w:r>
          </w:p>
        </w:tc>
      </w:tr>
    </w:tbl>
    <w:p/>
    <w:p>
      <w:pPr>
        <w:spacing w:after="120"/>
        <w:ind w:left="360"/>
      </w:pPr>
      <w:r>
        <w:rPr>
          <w:i/>
          <w:color w:val="6B7280"/>
          <w:sz w:val="20"/>
        </w:rPr>
        <w:t>Source: ERA Uganda (era.go.ug) — Q1 2026 Base End-User Tariffs. Rates are reviewed every quarter. The 756.2 UGX/kWh standard rate was set in Q2 2025 and retained through Q1 2026.</w:t>
      </w:r>
    </w:p>
    <w:p>
      <w:pPr>
        <w:spacing w:before="240" w:after="80"/>
      </w:pPr>
      <w:r>
        <w:rPr>
          <w:b/>
          <w:color w:val="1D4ED8"/>
          <w:sz w:val="26"/>
        </w:rPr>
        <w:t>2.3  Monthly Service / Fixed Charge</w:t>
      </w:r>
    </w:p>
    <w:p>
      <w:pPr>
        <w:spacing w:after="120"/>
      </w:pPr>
      <w:r>
        <w:rPr>
          <w:sz w:val="22"/>
        </w:rPr>
        <w:t>In addition to the per-unit charges above, domestic consumers pay a fixed monthly service charge of UGX 3,360, applied at the first token purchase of each billing cycle. This covers meter reading, billing, and network maintenance costs regardless of consumption.</w:t>
      </w:r>
    </w:p>
    <w:p>
      <w:pPr>
        <w:spacing w:after="120"/>
        <w:ind w:left="360"/>
      </w:pPr>
      <w:r>
        <w:rPr>
          <w:i/>
          <w:color w:val="6B7280"/>
          <w:sz w:val="20"/>
        </w:rPr>
        <w:t>The current system implementation sets service_charge = 0 on the seeded CODE10.1 tariff. This charge should be incorporated into future loan disbursement calculations for accuracy.</w:t>
      </w:r>
    </w:p>
    <w:p>
      <w:pPr>
        <w:spacing w:before="240" w:after="80"/>
      </w:pPr>
      <w:r>
        <w:rPr>
          <w:b/>
          <w:color w:val="1D4ED8"/>
          <w:sz w:val="26"/>
        </w:rPr>
        <w:t>2.4  Additional Levies</w:t>
      </w:r>
    </w:p>
    <w:p>
      <w:pPr>
        <w:pStyle w:val="ListBullet"/>
        <w:spacing w:after="60"/>
      </w:pPr>
      <w:r>
        <w:rPr>
          <w:sz w:val="22"/>
        </w:rPr>
        <w:t>VAT (18%) — levied on every electricity transaction in Uganda.</w:t>
      </w:r>
    </w:p>
    <w:p>
      <w:pPr>
        <w:pStyle w:val="ListBullet"/>
        <w:spacing w:after="60"/>
      </w:pPr>
      <w:r>
        <w:rPr>
          <w:sz w:val="22"/>
        </w:rPr>
        <w:t>REA Levy — a small levy directed to the Rural Electrification Agency.</w:t>
      </w:r>
    </w:p>
    <w:p>
      <w:pPr>
        <w:spacing w:after="120"/>
        <w:ind w:left="360"/>
      </w:pPr>
      <w:r>
        <w:rPr>
          <w:i/>
          <w:color w:val="6B7280"/>
          <w:sz w:val="20"/>
        </w:rPr>
        <w:t>These levies are not yet modelled in the current system. Token amounts shown to users reflect pre-levy unit values.</w:t>
      </w:r>
    </w:p>
    <w:p>
      <w:pPr>
        <w:spacing w:before="240" w:after="80"/>
      </w:pPr>
      <w:r>
        <w:rPr>
          <w:b/>
          <w:color w:val="1D4ED8"/>
          <w:sz w:val="26"/>
        </w:rPr>
        <w:t>2.5  Other Consumer Categories (ERA 2025-2026)</w:t>
      </w:r>
    </w:p>
    <w:p>
      <w:pPr>
        <w:spacing w:after="120"/>
      </w:pPr>
      <w:r>
        <w:rPr>
          <w:sz w:val="22"/>
        </w:rPr>
        <w:t>ERA defines separate tariff codes for commercial and industrial consumers. These use flat or time-of-use rates and are not banded in the same way as domestic:</w:t>
      </w:r>
    </w:p>
    <w:tbl>
      <w:tblPr>
        <w:tblStyle w:val="TableGrid"/>
        <w:tblW w:type="auto" w:w="0"/>
        <w:jc w:val="left"/>
        <w:tblLook w:firstColumn="1" w:firstRow="1" w:lastColumn="0" w:lastRow="0" w:noHBand="0" w:noVBand="1" w:val="04A0"/>
      </w:tblPr>
      <w:tblGrid>
        <w:gridCol w:w="3022"/>
        <w:gridCol w:w="3022"/>
        <w:gridCol w:w="3022"/>
      </w:tblGrid>
      <w:tr>
        <w:tc>
          <w:tcPr>
            <w:tcW w:type="dxa" w:w="3022"/>
          </w:tcPr>
          <w:p/>
        </w:tc>
        <w:tc>
          <w:tcPr>
            <w:tcW w:type="dxa" w:w="3022"/>
          </w:tcPr>
          <w:p/>
        </w:tc>
        <w:tc>
          <w:tcPr>
            <w:tcW w:type="dxa" w:w="3022"/>
          </w:tcPr>
          <w:p/>
        </w:tc>
      </w:tr>
      <w:tr>
        <w:tc>
          <w:tcPr>
            <w:tcW w:type="dxa" w:w="3022"/>
            <w:vAlign w:val="center"/>
            <w:shd w:val="clear" w:color="auto" w:fill="0F172A"/>
          </w:tcPr>
          <w:p>
            <w:pPr>
              <w:spacing w:after="60" w:before="60"/>
            </w:pPr>
            <w:r>
              <w:rPr>
                <w:b/>
                <w:color w:val="FFFFFF"/>
                <w:sz w:val="20"/>
              </w:rPr>
              <w:t>Consumer Category</w:t>
            </w:r>
          </w:p>
        </w:tc>
        <w:tc>
          <w:tcPr>
            <w:tcW w:type="dxa" w:w="3022"/>
            <w:vAlign w:val="center"/>
            <w:shd w:val="clear" w:color="auto" w:fill="0F172A"/>
          </w:tcPr>
          <w:p>
            <w:pPr>
              <w:spacing w:after="60" w:before="60"/>
            </w:pPr>
            <w:r>
              <w:rPr>
                <w:b/>
                <w:color w:val="FFFFFF"/>
                <w:sz w:val="20"/>
              </w:rPr>
              <w:t>Approx. Rate (UGX/kWh)</w:t>
            </w:r>
          </w:p>
        </w:tc>
        <w:tc>
          <w:tcPr>
            <w:tcW w:type="dxa" w:w="3022"/>
            <w:vAlign w:val="center"/>
            <w:shd w:val="clear" w:color="auto" w:fill="0F172A"/>
          </w:tcPr>
          <w:p>
            <w:pPr>
              <w:spacing w:after="60" w:before="60"/>
            </w:pPr>
            <w:r>
              <w:rPr>
                <w:b/>
                <w:color w:val="FFFFFF"/>
                <w:sz w:val="20"/>
              </w:rPr>
              <w:t>Notes</w:t>
            </w:r>
          </w:p>
        </w:tc>
      </w:tr>
      <w:tr>
        <w:tc>
          <w:tcPr>
            <w:tcW w:type="dxa" w:w="3022"/>
            <w:vAlign w:val="center"/>
            <w:shd w:val="clear" w:color="auto" w:fill="DCFCE7"/>
          </w:tcPr>
          <w:p>
            <w:pPr>
              <w:spacing w:after="60" w:before="60"/>
            </w:pPr>
            <w:r>
              <w:rPr>
                <w:b/>
                <w:color w:val="16582C"/>
                <w:sz w:val="20"/>
              </w:rPr>
              <w:t>Domestic — CODE10.1</w:t>
            </w:r>
          </w:p>
        </w:tc>
        <w:tc>
          <w:tcPr>
            <w:tcW w:type="dxa" w:w="3022"/>
            <w:vAlign w:val="center"/>
            <w:shd w:val="clear" w:color="auto" w:fill="DCFCE7"/>
          </w:tcPr>
          <w:p>
            <w:pPr>
              <w:spacing w:after="60" w:before="60"/>
            </w:pPr>
            <w:r>
              <w:rPr>
                <w:b/>
                <w:color w:val="16582C"/>
                <w:sz w:val="20"/>
              </w:rPr>
              <w:t>250 – 756.2 (stepped)</w:t>
            </w:r>
          </w:p>
        </w:tc>
        <w:tc>
          <w:tcPr>
            <w:tcW w:type="dxa" w:w="3022"/>
            <w:vAlign w:val="center"/>
            <w:shd w:val="clear" w:color="auto" w:fill="DCFCE7"/>
          </w:tcPr>
          <w:p>
            <w:pPr>
              <w:spacing w:after="60" w:before="60"/>
            </w:pPr>
            <w:r>
              <w:rPr>
                <w:b/>
                <w:color w:val="16582C"/>
                <w:sz w:val="20"/>
              </w:rPr>
              <w:t>Implemented in this system</w:t>
            </w:r>
          </w:p>
        </w:tc>
      </w:tr>
      <w:tr>
        <w:tc>
          <w:tcPr>
            <w:tcW w:type="dxa" w:w="3022"/>
            <w:vAlign w:val="center"/>
          </w:tcPr>
          <w:p>
            <w:pPr>
              <w:spacing w:after="60" w:before="60"/>
            </w:pPr>
            <w:r>
              <w:rPr>
                <w:sz w:val="20"/>
              </w:rPr>
              <w:t>Commercial / Small Business</w:t>
            </w:r>
          </w:p>
        </w:tc>
        <w:tc>
          <w:tcPr>
            <w:tcW w:type="dxa" w:w="3022"/>
            <w:vAlign w:val="center"/>
          </w:tcPr>
          <w:p>
            <w:pPr>
              <w:spacing w:after="60" w:before="60"/>
            </w:pPr>
            <w:r>
              <w:rPr>
                <w:sz w:val="20"/>
              </w:rPr>
              <w:t>~546.4</w:t>
            </w:r>
          </w:p>
        </w:tc>
        <w:tc>
          <w:tcPr>
            <w:tcW w:type="dxa" w:w="3022"/>
            <w:vAlign w:val="center"/>
          </w:tcPr>
          <w:p>
            <w:pPr>
              <w:spacing w:after="60" w:before="60"/>
            </w:pPr>
            <w:r>
              <w:rPr>
                <w:sz w:val="20"/>
              </w:rPr>
              <w:t>Single flat rate; time-of-use variant available</w:t>
            </w:r>
          </w:p>
        </w:tc>
      </w:tr>
      <w:tr>
        <w:tc>
          <w:tcPr>
            <w:tcW w:type="dxa" w:w="3022"/>
            <w:vAlign w:val="center"/>
          </w:tcPr>
          <w:p>
            <w:pPr>
              <w:spacing w:after="60" w:before="60"/>
            </w:pPr>
            <w:r>
              <w:rPr>
                <w:sz w:val="20"/>
              </w:rPr>
              <w:t>Medium Industrial</w:t>
            </w:r>
          </w:p>
        </w:tc>
        <w:tc>
          <w:tcPr>
            <w:tcW w:type="dxa" w:w="3022"/>
            <w:vAlign w:val="center"/>
          </w:tcPr>
          <w:p>
            <w:pPr>
              <w:spacing w:after="60" w:before="60"/>
            </w:pPr>
            <w:r>
              <w:rPr>
                <w:sz w:val="20"/>
              </w:rPr>
              <w:t>~355.1</w:t>
            </w:r>
          </w:p>
        </w:tc>
        <w:tc>
          <w:tcPr>
            <w:tcW w:type="dxa" w:w="3022"/>
            <w:vAlign w:val="center"/>
          </w:tcPr>
          <w:p>
            <w:pPr>
              <w:spacing w:after="60" w:before="60"/>
            </w:pPr>
            <w:r>
              <w:rPr>
                <w:sz w:val="20"/>
              </w:rPr>
              <w:t>Bulk supply; lower rate reflects load factor</w:t>
            </w:r>
          </w:p>
        </w:tc>
      </w:tr>
      <w:tr>
        <w:tc>
          <w:tcPr>
            <w:tcW w:type="dxa" w:w="3022"/>
            <w:vAlign w:val="center"/>
          </w:tcPr>
          <w:p>
            <w:pPr>
              <w:spacing w:after="60" w:before="60"/>
            </w:pPr>
            <w:r>
              <w:rPr>
                <w:sz w:val="20"/>
              </w:rPr>
              <w:t>Large Industrial</w:t>
            </w:r>
          </w:p>
        </w:tc>
        <w:tc>
          <w:tcPr>
            <w:tcW w:type="dxa" w:w="3022"/>
            <w:vAlign w:val="center"/>
          </w:tcPr>
          <w:p>
            <w:pPr>
              <w:spacing w:after="60" w:before="60"/>
            </w:pPr>
            <w:r>
              <w:rPr>
                <w:sz w:val="20"/>
              </w:rPr>
              <w:t>~300.4</w:t>
            </w:r>
          </w:p>
        </w:tc>
        <w:tc>
          <w:tcPr>
            <w:tcW w:type="dxa" w:w="3022"/>
            <w:vAlign w:val="center"/>
          </w:tcPr>
          <w:p>
            <w:pPr>
              <w:spacing w:after="60" w:before="60"/>
            </w:pPr>
            <w:r>
              <w:rPr>
                <w:sz w:val="20"/>
              </w:rPr>
              <w:t>High-voltage supply; negotiated terms</w:t>
            </w:r>
          </w:p>
        </w:tc>
      </w:tr>
      <w:tr>
        <w:tc>
          <w:tcPr>
            <w:tcW w:type="dxa" w:w="3022"/>
            <w:vAlign w:val="center"/>
          </w:tcPr>
          <w:p>
            <w:pPr>
              <w:spacing w:after="60" w:before="60"/>
            </w:pPr>
            <w:r>
              <w:rPr>
                <w:sz w:val="20"/>
              </w:rPr>
              <w:t>Extra-Large Industrial</w:t>
            </w:r>
          </w:p>
        </w:tc>
        <w:tc>
          <w:tcPr>
            <w:tcW w:type="dxa" w:w="3022"/>
            <w:vAlign w:val="center"/>
          </w:tcPr>
          <w:p>
            <w:pPr>
              <w:spacing w:after="60" w:before="60"/>
            </w:pPr>
            <w:r>
              <w:rPr>
                <w:sz w:val="20"/>
              </w:rPr>
              <w:t>~203.6</w:t>
            </w:r>
          </w:p>
        </w:tc>
        <w:tc>
          <w:tcPr>
            <w:tcW w:type="dxa" w:w="3022"/>
            <w:vAlign w:val="center"/>
          </w:tcPr>
          <w:p>
            <w:pPr>
              <w:spacing w:after="60" w:before="60"/>
            </w:pPr>
            <w:r>
              <w:rPr>
                <w:sz w:val="20"/>
              </w:rPr>
              <w:t>Direct grid access; lowest rate</w:t>
            </w:r>
          </w:p>
        </w:tc>
      </w:tr>
      <w:tr>
        <w:tc>
          <w:tcPr>
            <w:tcW w:type="dxa" w:w="3022"/>
            <w:vAlign w:val="center"/>
          </w:tcPr>
          <w:p>
            <w:pPr>
              <w:spacing w:after="60" w:before="60"/>
            </w:pPr>
            <w:r>
              <w:rPr>
                <w:sz w:val="20"/>
              </w:rPr>
              <w:t>Street Lighting</w:t>
            </w:r>
          </w:p>
        </w:tc>
        <w:tc>
          <w:tcPr>
            <w:tcW w:type="dxa" w:w="3022"/>
            <w:vAlign w:val="center"/>
          </w:tcPr>
          <w:p>
            <w:pPr>
              <w:spacing w:after="60" w:before="60"/>
            </w:pPr>
            <w:r>
              <w:rPr>
                <w:sz w:val="20"/>
              </w:rPr>
              <w:t>~360.0</w:t>
            </w:r>
          </w:p>
        </w:tc>
        <w:tc>
          <w:tcPr>
            <w:tcW w:type="dxa" w:w="3022"/>
            <w:vAlign w:val="center"/>
          </w:tcPr>
          <w:p>
            <w:pPr>
              <w:spacing w:after="60" w:before="60"/>
            </w:pPr>
            <w:r>
              <w:rPr>
                <w:sz w:val="20"/>
              </w:rPr>
              <w:t>Fixed infrastructure tariff</w:t>
            </w:r>
          </w:p>
        </w:tc>
      </w:tr>
    </w:tbl>
    <w:p/>
    <w:p>
      <w:pPr>
        <w:spacing w:after="120"/>
        <w:ind w:left="360"/>
      </w:pPr>
      <w:r>
        <w:rPr>
          <w:i/>
          <w:color w:val="6B7280"/>
          <w:sz w:val="20"/>
        </w:rPr>
        <w:t>Rates shown are ERA 2025-2026 averages. Commercial/industrial tariffs are outside the scope of the current system but the database model supports them (tariff_type field).</w:t>
      </w:r>
    </w:p>
    <w:p>
      <w:pPr>
        <w:spacing w:before="400" w:after="120"/>
      </w:pPr>
      <w:r>
        <w:rPr>
          <w:b/>
          <w:color w:val="0F172A"/>
          <w:sz w:val="32"/>
        </w:rPr>
        <w:t>3.  How the System Implements Uganda's ERA Tariff</w:t>
      </w:r>
    </w:p>
    <w:p>
      <w:pPr>
        <w:spacing w:before="240" w:after="80"/>
      </w:pPr>
      <w:r>
        <w:rPr>
          <w:b/>
          <w:color w:val="1D4ED8"/>
          <w:sz w:val="26"/>
        </w:rPr>
        <w:t>3.1  Direct Mapping of ERA Bands to TariffBlocks</w:t>
      </w:r>
    </w:p>
    <w:p>
      <w:pPr>
        <w:spacing w:after="120"/>
      </w:pPr>
      <w:r>
        <w:rPr>
          <w:sz w:val="22"/>
        </w:rPr>
        <w:t>Each ERA pricing band maps 1-to-1 to a TariffBlock record in the database. The table below shows the exact correspondence between the official ERA structure and what is seeded into the system via migration 0008_tariff_system.py.</w:t>
      </w:r>
    </w:p>
    <w:tbl>
      <w:tblPr>
        <w:tblStyle w:val="TableGrid"/>
        <w:tblW w:type="auto" w:w="0"/>
        <w:jc w:val="left"/>
        <w:tblLook w:firstColumn="1" w:firstRow="1" w:lastColumn="0" w:lastRow="0" w:noHBand="0" w:noVBand="1" w:val="04A0"/>
      </w:tblPr>
      <w:tblGrid>
        <w:gridCol w:w="1511"/>
        <w:gridCol w:w="1511"/>
        <w:gridCol w:w="1511"/>
        <w:gridCol w:w="1511"/>
        <w:gridCol w:w="1511"/>
        <w:gridCol w:w="1511"/>
      </w:tblGrid>
      <w:tr>
        <w:tc>
          <w:tcPr>
            <w:tcW w:type="dxa" w:w="1511"/>
          </w:tcPr>
          <w:p/>
        </w:tc>
        <w:tc>
          <w:tcPr>
            <w:tcW w:type="dxa" w:w="1511"/>
          </w:tcPr>
          <w:p/>
        </w:tc>
        <w:tc>
          <w:tcPr>
            <w:tcW w:type="dxa" w:w="1511"/>
          </w:tcPr>
          <w:p/>
        </w:tc>
        <w:tc>
          <w:tcPr>
            <w:tcW w:type="dxa" w:w="1511"/>
          </w:tcPr>
          <w:p/>
        </w:tc>
        <w:tc>
          <w:tcPr>
            <w:tcW w:type="dxa" w:w="1511"/>
          </w:tcPr>
          <w:p/>
        </w:tc>
        <w:tc>
          <w:tcPr>
            <w:tcW w:type="dxa" w:w="1511"/>
          </w:tcPr>
          <w:p/>
        </w:tc>
      </w:tr>
      <w:tr>
        <w:tc>
          <w:tcPr>
            <w:tcW w:type="dxa" w:w="1511"/>
            <w:vAlign w:val="center"/>
            <w:shd w:val="clear" w:color="auto" w:fill="0F172A"/>
          </w:tcPr>
          <w:p>
            <w:pPr>
              <w:spacing w:after="60" w:before="60"/>
            </w:pPr>
            <w:r>
              <w:rPr>
                <w:b/>
                <w:color w:val="FFFFFF"/>
                <w:sz w:val="20"/>
              </w:rPr>
              <w:t>ERA Band</w:t>
            </w:r>
          </w:p>
        </w:tc>
        <w:tc>
          <w:tcPr>
            <w:tcW w:type="dxa" w:w="1511"/>
            <w:vAlign w:val="center"/>
            <w:shd w:val="clear" w:color="auto" w:fill="0F172A"/>
          </w:tcPr>
          <w:p>
            <w:pPr>
              <w:spacing w:after="60" w:before="60"/>
            </w:pPr>
            <w:r>
              <w:rPr>
                <w:b/>
                <w:color w:val="FFFFFF"/>
                <w:sz w:val="20"/>
              </w:rPr>
              <w:t>ERA Range</w:t>
            </w:r>
          </w:p>
        </w:tc>
        <w:tc>
          <w:tcPr>
            <w:tcW w:type="dxa" w:w="1511"/>
            <w:vAlign w:val="center"/>
            <w:shd w:val="clear" w:color="auto" w:fill="0F172A"/>
          </w:tcPr>
          <w:p>
            <w:pPr>
              <w:spacing w:after="60" w:before="60"/>
            </w:pPr>
            <w:r>
              <w:rPr>
                <w:b/>
                <w:color w:val="FFFFFF"/>
                <w:sz w:val="20"/>
              </w:rPr>
              <w:t>ERA Rate</w:t>
            </w:r>
          </w:p>
        </w:tc>
        <w:tc>
          <w:tcPr>
            <w:tcW w:type="dxa" w:w="1511"/>
            <w:vAlign w:val="center"/>
            <w:shd w:val="clear" w:color="auto" w:fill="0F172A"/>
          </w:tcPr>
          <w:p>
            <w:pPr>
              <w:spacing w:after="60" w:before="60"/>
            </w:pPr>
            <w:r>
              <w:rPr>
                <w:b/>
                <w:color w:val="FFFFFF"/>
                <w:sz w:val="20"/>
              </w:rPr>
              <w:t>DB block_order</w:t>
            </w:r>
          </w:p>
        </w:tc>
        <w:tc>
          <w:tcPr>
            <w:tcW w:type="dxa" w:w="1511"/>
            <w:vAlign w:val="center"/>
            <w:shd w:val="clear" w:color="auto" w:fill="0F172A"/>
          </w:tcPr>
          <w:p>
            <w:pPr>
              <w:spacing w:after="60" w:before="60"/>
            </w:pPr>
            <w:r>
              <w:rPr>
                <w:b/>
                <w:color w:val="FFFFFF"/>
                <w:sz w:val="20"/>
              </w:rPr>
              <w:t>DB min_units</w:t>
            </w:r>
          </w:p>
        </w:tc>
        <w:tc>
          <w:tcPr>
            <w:tcW w:type="dxa" w:w="1511"/>
            <w:vAlign w:val="center"/>
            <w:shd w:val="clear" w:color="auto" w:fill="0F172A"/>
          </w:tcPr>
          <w:p>
            <w:pPr>
              <w:spacing w:after="60" w:before="60"/>
            </w:pPr>
            <w:r>
              <w:rPr>
                <w:b/>
                <w:color w:val="FFFFFF"/>
                <w:sz w:val="20"/>
              </w:rPr>
              <w:t>DB max_units</w:t>
            </w:r>
          </w:p>
        </w:tc>
      </w:tr>
      <w:tr>
        <w:tc>
          <w:tcPr>
            <w:tcW w:type="dxa" w:w="1511"/>
            <w:vAlign w:val="center"/>
          </w:tcPr>
          <w:p>
            <w:pPr>
              <w:spacing w:after="60" w:before="60"/>
            </w:pPr>
            <w:r>
              <w:rPr>
                <w:sz w:val="20"/>
              </w:rPr>
              <w:t>Lifeline</w:t>
            </w:r>
          </w:p>
        </w:tc>
        <w:tc>
          <w:tcPr>
            <w:tcW w:type="dxa" w:w="1511"/>
            <w:vAlign w:val="center"/>
          </w:tcPr>
          <w:p>
            <w:pPr>
              <w:spacing w:after="60" w:before="60"/>
            </w:pPr>
            <w:r>
              <w:rPr>
                <w:sz w:val="20"/>
              </w:rPr>
              <w:t>0 – 15 kWh</w:t>
            </w:r>
          </w:p>
        </w:tc>
        <w:tc>
          <w:tcPr>
            <w:tcW w:type="dxa" w:w="1511"/>
            <w:vAlign w:val="center"/>
          </w:tcPr>
          <w:p>
            <w:pPr>
              <w:spacing w:after="60" w:before="60"/>
            </w:pPr>
            <w:r>
              <w:rPr>
                <w:sz w:val="20"/>
              </w:rPr>
              <w:t>250 UGX</w:t>
            </w:r>
          </w:p>
        </w:tc>
        <w:tc>
          <w:tcPr>
            <w:tcW w:type="dxa" w:w="1511"/>
            <w:vAlign w:val="center"/>
          </w:tcPr>
          <w:p>
            <w:pPr>
              <w:spacing w:after="60" w:before="60"/>
            </w:pPr>
            <w:r>
              <w:rPr>
                <w:sz w:val="20"/>
              </w:rPr>
              <w:t>1</w:t>
            </w:r>
          </w:p>
        </w:tc>
        <w:tc>
          <w:tcPr>
            <w:tcW w:type="dxa" w:w="1511"/>
            <w:vAlign w:val="center"/>
          </w:tcPr>
          <w:p>
            <w:pPr>
              <w:spacing w:after="60" w:before="60"/>
            </w:pPr>
            <w:r>
              <w:rPr>
                <w:sz w:val="20"/>
              </w:rPr>
              <w:t>1</w:t>
            </w:r>
          </w:p>
        </w:tc>
        <w:tc>
          <w:tcPr>
            <w:tcW w:type="dxa" w:w="1511"/>
            <w:vAlign w:val="center"/>
          </w:tcPr>
          <w:p>
            <w:pPr>
              <w:spacing w:after="60" w:before="60"/>
            </w:pPr>
            <w:r>
              <w:rPr>
                <w:sz w:val="20"/>
              </w:rPr>
              <w:t>15</w:t>
            </w:r>
          </w:p>
        </w:tc>
      </w:tr>
      <w:tr>
        <w:tc>
          <w:tcPr>
            <w:tcW w:type="dxa" w:w="1511"/>
            <w:vAlign w:val="center"/>
          </w:tcPr>
          <w:p>
            <w:pPr>
              <w:spacing w:after="60" w:before="60"/>
            </w:pPr>
            <w:r>
              <w:rPr>
                <w:sz w:val="20"/>
              </w:rPr>
              <w:t>Standard Domestic</w:t>
            </w:r>
          </w:p>
        </w:tc>
        <w:tc>
          <w:tcPr>
            <w:tcW w:type="dxa" w:w="1511"/>
            <w:vAlign w:val="center"/>
          </w:tcPr>
          <w:p>
            <w:pPr>
              <w:spacing w:after="60" w:before="60"/>
            </w:pPr>
            <w:r>
              <w:rPr>
                <w:sz w:val="20"/>
              </w:rPr>
              <w:t>16 – 80 kWh</w:t>
            </w:r>
          </w:p>
        </w:tc>
        <w:tc>
          <w:tcPr>
            <w:tcW w:type="dxa" w:w="1511"/>
            <w:vAlign w:val="center"/>
          </w:tcPr>
          <w:p>
            <w:pPr>
              <w:spacing w:after="60" w:before="60"/>
            </w:pPr>
            <w:r>
              <w:rPr>
                <w:sz w:val="20"/>
              </w:rPr>
              <w:t>756.2 UGX</w:t>
            </w:r>
          </w:p>
        </w:tc>
        <w:tc>
          <w:tcPr>
            <w:tcW w:type="dxa" w:w="1511"/>
            <w:vAlign w:val="center"/>
          </w:tcPr>
          <w:p>
            <w:pPr>
              <w:spacing w:after="60" w:before="60"/>
            </w:pPr>
            <w:r>
              <w:rPr>
                <w:sz w:val="20"/>
              </w:rPr>
              <w:t>2</w:t>
            </w:r>
          </w:p>
        </w:tc>
        <w:tc>
          <w:tcPr>
            <w:tcW w:type="dxa" w:w="1511"/>
            <w:vAlign w:val="center"/>
          </w:tcPr>
          <w:p>
            <w:pPr>
              <w:spacing w:after="60" w:before="60"/>
            </w:pPr>
            <w:r>
              <w:rPr>
                <w:sz w:val="20"/>
              </w:rPr>
              <w:t>16</w:t>
            </w:r>
          </w:p>
        </w:tc>
        <w:tc>
          <w:tcPr>
            <w:tcW w:type="dxa" w:w="1511"/>
            <w:vAlign w:val="center"/>
          </w:tcPr>
          <w:p>
            <w:pPr>
              <w:spacing w:after="60" w:before="60"/>
            </w:pPr>
            <w:r>
              <w:rPr>
                <w:sz w:val="20"/>
              </w:rPr>
              <w:t>80</w:t>
            </w:r>
          </w:p>
        </w:tc>
      </w:tr>
      <w:tr>
        <w:tc>
          <w:tcPr>
            <w:tcW w:type="dxa" w:w="1511"/>
            <w:vAlign w:val="center"/>
          </w:tcPr>
          <w:p>
            <w:pPr>
              <w:spacing w:after="60" w:before="60"/>
            </w:pPr>
            <w:r>
              <w:rPr>
                <w:sz w:val="20"/>
              </w:rPr>
              <w:t>Cooking Incentive</w:t>
            </w:r>
          </w:p>
        </w:tc>
        <w:tc>
          <w:tcPr>
            <w:tcW w:type="dxa" w:w="1511"/>
            <w:vAlign w:val="center"/>
          </w:tcPr>
          <w:p>
            <w:pPr>
              <w:spacing w:after="60" w:before="60"/>
            </w:pPr>
            <w:r>
              <w:rPr>
                <w:sz w:val="20"/>
              </w:rPr>
              <w:t>81 – 150 kWh</w:t>
            </w:r>
          </w:p>
        </w:tc>
        <w:tc>
          <w:tcPr>
            <w:tcW w:type="dxa" w:w="1511"/>
            <w:vAlign w:val="center"/>
          </w:tcPr>
          <w:p>
            <w:pPr>
              <w:spacing w:after="60" w:before="60"/>
            </w:pPr>
            <w:r>
              <w:rPr>
                <w:sz w:val="20"/>
              </w:rPr>
              <w:t>412 UGX</w:t>
            </w:r>
          </w:p>
        </w:tc>
        <w:tc>
          <w:tcPr>
            <w:tcW w:type="dxa" w:w="1511"/>
            <w:vAlign w:val="center"/>
          </w:tcPr>
          <w:p>
            <w:pPr>
              <w:spacing w:after="60" w:before="60"/>
            </w:pPr>
            <w:r>
              <w:rPr>
                <w:sz w:val="20"/>
              </w:rPr>
              <w:t>3</w:t>
            </w:r>
          </w:p>
        </w:tc>
        <w:tc>
          <w:tcPr>
            <w:tcW w:type="dxa" w:w="1511"/>
            <w:vAlign w:val="center"/>
          </w:tcPr>
          <w:p>
            <w:pPr>
              <w:spacing w:after="60" w:before="60"/>
            </w:pPr>
            <w:r>
              <w:rPr>
                <w:sz w:val="20"/>
              </w:rPr>
              <w:t>81</w:t>
            </w:r>
          </w:p>
        </w:tc>
        <w:tc>
          <w:tcPr>
            <w:tcW w:type="dxa" w:w="1511"/>
            <w:vAlign w:val="center"/>
          </w:tcPr>
          <w:p>
            <w:pPr>
              <w:spacing w:after="60" w:before="60"/>
            </w:pPr>
            <w:r>
              <w:rPr>
                <w:sz w:val="20"/>
              </w:rPr>
              <w:t>150</w:t>
            </w:r>
          </w:p>
        </w:tc>
      </w:tr>
      <w:tr>
        <w:tc>
          <w:tcPr>
            <w:tcW w:type="dxa" w:w="1511"/>
            <w:vAlign w:val="center"/>
          </w:tcPr>
          <w:p>
            <w:pPr>
              <w:spacing w:after="60" w:before="60"/>
            </w:pPr>
            <w:r>
              <w:rPr>
                <w:sz w:val="20"/>
              </w:rPr>
              <w:t>High Consumption</w:t>
            </w:r>
          </w:p>
        </w:tc>
        <w:tc>
          <w:tcPr>
            <w:tcW w:type="dxa" w:w="1511"/>
            <w:vAlign w:val="center"/>
          </w:tcPr>
          <w:p>
            <w:pPr>
              <w:spacing w:after="60" w:before="60"/>
            </w:pPr>
            <w:r>
              <w:rPr>
                <w:sz w:val="20"/>
              </w:rPr>
              <w:t>151+ kWh</w:t>
            </w:r>
          </w:p>
        </w:tc>
        <w:tc>
          <w:tcPr>
            <w:tcW w:type="dxa" w:w="1511"/>
            <w:vAlign w:val="center"/>
          </w:tcPr>
          <w:p>
            <w:pPr>
              <w:spacing w:after="60" w:before="60"/>
            </w:pPr>
            <w:r>
              <w:rPr>
                <w:sz w:val="20"/>
              </w:rPr>
              <w:t>756.2 UGX</w:t>
            </w:r>
          </w:p>
        </w:tc>
        <w:tc>
          <w:tcPr>
            <w:tcW w:type="dxa" w:w="1511"/>
            <w:vAlign w:val="center"/>
          </w:tcPr>
          <w:p>
            <w:pPr>
              <w:spacing w:after="60" w:before="60"/>
            </w:pPr>
            <w:r>
              <w:rPr>
                <w:sz w:val="20"/>
              </w:rPr>
              <w:t>4</w:t>
            </w:r>
          </w:p>
        </w:tc>
        <w:tc>
          <w:tcPr>
            <w:tcW w:type="dxa" w:w="1511"/>
            <w:vAlign w:val="center"/>
          </w:tcPr>
          <w:p>
            <w:pPr>
              <w:spacing w:after="60" w:before="60"/>
            </w:pPr>
            <w:r>
              <w:rPr>
                <w:sz w:val="20"/>
              </w:rPr>
              <w:t>151</w:t>
            </w:r>
          </w:p>
        </w:tc>
        <w:tc>
          <w:tcPr>
            <w:tcW w:type="dxa" w:w="1511"/>
            <w:vAlign w:val="center"/>
          </w:tcPr>
          <w:p>
            <w:pPr>
              <w:spacing w:after="60" w:before="60"/>
            </w:pPr>
            <w:r>
              <w:rPr>
                <w:sz w:val="20"/>
              </w:rPr>
              <w:t>NULL (unlimited)</w:t>
            </w:r>
          </w:p>
        </w:tc>
      </w:tr>
    </w:tbl>
    <w:p/>
    <w:p>
      <w:pPr>
        <w:spacing w:before="240" w:after="80"/>
      </w:pPr>
      <w:r>
        <w:rPr>
          <w:b/>
          <w:color w:val="1D4ED8"/>
          <w:sz w:val="26"/>
        </w:rPr>
        <w:t>3.2  Seed Migration  —  CODE10.1</w:t>
      </w:r>
    </w:p>
    <w:p>
      <w:pPr>
        <w:spacing w:after="80"/>
      </w:pPr>
      <w:r>
        <w:rPr>
          <w:b/>
          <w:color w:val="6B7280"/>
          <w:sz w:val="20"/>
        </w:rPr>
        <w:t xml:space="preserve">File: </w:t>
      </w:r>
      <w:r>
        <w:rPr>
          <w:rFonts w:ascii="Courier New" w:hAnsi="Courier New"/>
          <w:color w:val="1D4ED8"/>
          <w:sz w:val="20"/>
        </w:rPr>
        <w:t>backend/loan/migrations/0008_tariff_system.py</w:t>
      </w:r>
      <w:r>
        <w:rPr>
          <w:color w:val="6B7280"/>
          <w:sz w:val="20"/>
        </w:rPr>
        <w:t xml:space="preserve">   (lines 1 – 49)</w:t>
      </w:r>
    </w:p>
    <w:p>
      <w:pPr>
        <w:spacing w:after="120"/>
      </w:pPr>
      <w:r>
        <w:rPr>
          <w:sz w:val="22"/>
        </w:rPr>
        <w:t>When Django runs migrations on a fresh database, migration 0008 automatically creates the CODE10.1 tariff and all four ERA-matching blocks. This means the system is ERA-compliant from day one without any manual admin setup.</w:t>
      </w:r>
    </w:p>
    <w:p>
      <w:pPr>
        <w:spacing w:after="0" w:before="0"/>
        <w:ind w:left="432"/>
        <w:shd w:val="clear" w:color="auto" w:fill="F1F5F9"/>
      </w:pPr>
      <w:r>
        <w:rPr>
          <w:rFonts w:ascii="Courier New" w:hAnsi="Courier New"/>
          <w:color w:val="16582C"/>
          <w:sz w:val="18"/>
        </w:rPr>
        <w:t>blocks_data = [</w:t>
      </w:r>
    </w:p>
    <w:p>
      <w:pPr>
        <w:spacing w:after="0" w:before="0"/>
        <w:ind w:left="432"/>
        <w:shd w:val="clear" w:color="auto" w:fill="F1F5F9"/>
      </w:pPr>
      <w:r>
        <w:rPr>
          <w:rFonts w:ascii="Courier New" w:hAnsi="Courier New"/>
          <w:color w:val="16582C"/>
          <w:sz w:val="18"/>
        </w:rPr>
        <w:t xml:space="preserve">    # Band 1 — Lifeline (ERA subsidised rate)</w:t>
      </w:r>
    </w:p>
    <w:p>
      <w:pPr>
        <w:spacing w:after="0" w:before="0"/>
        <w:ind w:left="432"/>
        <w:shd w:val="clear" w:color="auto" w:fill="F1F5F9"/>
      </w:pPr>
      <w:r>
        <w:rPr>
          <w:rFonts w:ascii="Courier New" w:hAnsi="Courier New"/>
          <w:color w:val="16582C"/>
          <w:sz w:val="18"/>
        </w:rPr>
        <w:t xml:space="preserve">    {'block_name': 'First 15 kWh',          'min_units': 1,   'max_units': 15,   'rate_per_unit': 250.0,  'block_order': 1},</w:t>
      </w:r>
    </w:p>
    <w:p>
      <w:pPr>
        <w:spacing w:after="0" w:before="0"/>
        <w:ind w:left="432"/>
        <w:shd w:val="clear" w:color="auto" w:fill="F1F5F9"/>
      </w:pPr>
      <w:r>
        <w:rPr>
          <w:rFonts w:ascii="Courier New" w:hAnsi="Courier New"/>
          <w:color w:val="16582C"/>
          <w:sz w:val="18"/>
        </w:rPr>
        <w:t xml:space="preserve">    # Band 2 — Standard domestic</w:t>
      </w:r>
    </w:p>
    <w:p>
      <w:pPr>
        <w:spacing w:after="0" w:before="0"/>
        <w:ind w:left="432"/>
        <w:shd w:val="clear" w:color="auto" w:fill="F1F5F9"/>
      </w:pPr>
      <w:r>
        <w:rPr>
          <w:rFonts w:ascii="Courier New" w:hAnsi="Courier New"/>
          <w:color w:val="16582C"/>
          <w:sz w:val="18"/>
        </w:rPr>
        <w:t xml:space="preserve">    {'block_name': 'Units between 16-80 kWh','min_units': 16,  'max_units': 80,   'rate_per_unit': 756.2,  'block_order': 2},</w:t>
      </w:r>
    </w:p>
    <w:p>
      <w:pPr>
        <w:spacing w:after="0" w:before="0"/>
        <w:ind w:left="432"/>
        <w:shd w:val="clear" w:color="auto" w:fill="F1F5F9"/>
      </w:pPr>
      <w:r>
        <w:rPr>
          <w:rFonts w:ascii="Courier New" w:hAnsi="Courier New"/>
          <w:color w:val="16582C"/>
          <w:sz w:val="18"/>
        </w:rPr>
        <w:t xml:space="preserve">    # Band 3 — Cooking incentive (ERA discount for electric cooking)</w:t>
      </w:r>
    </w:p>
    <w:p>
      <w:pPr>
        <w:spacing w:after="0" w:before="0"/>
        <w:ind w:left="432"/>
        <w:shd w:val="clear" w:color="auto" w:fill="F1F5F9"/>
      </w:pPr>
      <w:r>
        <w:rPr>
          <w:rFonts w:ascii="Courier New" w:hAnsi="Courier New"/>
          <w:color w:val="16582C"/>
          <w:sz w:val="18"/>
        </w:rPr>
        <w:t xml:space="preserve">    {'block_name': 'Units between 81-150 kWh','min_units': 81, 'max_units': 150,  'rate_per_unit': 412.0,  'block_order': 3},</w:t>
      </w:r>
    </w:p>
    <w:p>
      <w:pPr>
        <w:spacing w:after="0" w:before="0"/>
        <w:ind w:left="432"/>
        <w:shd w:val="clear" w:color="auto" w:fill="F1F5F9"/>
      </w:pPr>
      <w:r>
        <w:rPr>
          <w:rFonts w:ascii="Courier New" w:hAnsi="Courier New"/>
          <w:color w:val="16582C"/>
          <w:sz w:val="18"/>
        </w:rPr>
        <w:t xml:space="preserve">    # Band 4 — High consumption (back to full rate)</w:t>
      </w:r>
    </w:p>
    <w:p>
      <w:pPr>
        <w:spacing w:after="0" w:before="0"/>
        <w:ind w:left="432"/>
        <w:shd w:val="clear" w:color="auto" w:fill="F1F5F9"/>
      </w:pPr>
      <w:r>
        <w:rPr>
          <w:rFonts w:ascii="Courier New" w:hAnsi="Courier New"/>
          <w:color w:val="16582C"/>
          <w:sz w:val="18"/>
        </w:rPr>
        <w:t xml:space="preserve">    {'block_name': 'Units above 150 kWh',    'min_units': 151, 'max_units': None, 'rate_per_unit': 756.2,  'block_order': 4},</w:t>
      </w:r>
    </w:p>
    <w:p>
      <w:pPr>
        <w:spacing w:after="0" w:before="0"/>
        <w:ind w:left="432"/>
        <w:shd w:val="clear" w:color="auto" w:fill="F1F5F9"/>
      </w:pPr>
      <w:r>
        <w:rPr>
          <w:rFonts w:ascii="Courier New" w:hAnsi="Courier New"/>
          <w:color w:val="16582C"/>
          <w:sz w:val="18"/>
        </w:rPr>
        <w:t>]</w:t>
      </w:r>
    </w:p>
    <w:p>
      <w:pPr>
        <w:spacing w:after="80"/>
      </w:pPr>
    </w:p>
    <w:p>
      <w:pPr>
        <w:spacing w:before="240" w:after="80"/>
      </w:pPr>
      <w:r>
        <w:rPr>
          <w:b/>
          <w:color w:val="1D4ED8"/>
          <w:sz w:val="26"/>
        </w:rPr>
        <w:t>3.3  Why the Calculation Must Step Through All Bands</w:t>
      </w:r>
    </w:p>
    <w:p>
      <w:pPr>
        <w:spacing w:after="120"/>
      </w:pPr>
      <w:r>
        <w:rPr>
          <w:sz w:val="22"/>
        </w:rPr>
        <w:t>A naive approach would divide the loan amount by a single average rate. This would be wrong because the cooking incentive band (412 UGX) is cheaper than both the bands before and after it. The step-through algorithm is mandatory to correctly apply ERA's non-monotonic band structure.</w:t>
      </w:r>
    </w:p>
    <w:p>
      <w:pPr>
        <w:spacing w:after="120"/>
      </w:pPr>
      <w:r>
        <w:rPr>
          <w:sz w:val="22"/>
        </w:rPr>
        <w:t>Example — why a flat average fails:</w:t>
      </w:r>
    </w:p>
    <w:p>
      <w:pPr>
        <w:pStyle w:val="ListBullet"/>
        <w:spacing w:after="60"/>
      </w:pPr>
      <w:r>
        <w:rPr>
          <w:sz w:val="22"/>
        </w:rPr>
        <w:t>Flat rate estimate at 756.2 UGX:  100,000 / 756.2  =  132 kWh  (WRONG)</w:t>
      </w:r>
    </w:p>
    <w:p>
      <w:pPr>
        <w:pStyle w:val="ListBullet"/>
        <w:spacing w:after="60"/>
      </w:pPr>
      <w:r>
        <w:rPr>
          <w:sz w:val="22"/>
        </w:rPr>
        <w:t>Correct stepped calculation:  15 + 65 + 70 + 24  =  174 kWh  (CORRECT, see Section 7)</w:t>
      </w:r>
    </w:p>
    <w:p>
      <w:pPr>
        <w:spacing w:after="120"/>
      </w:pPr>
      <w:r>
        <w:rPr>
          <w:sz w:val="22"/>
        </w:rPr>
        <w:t>The difference is 42 kWh — a significant underestimate that would reduce the loan value perceived by the borrower. The stepped algorithm gives every consumer the full benefit of the cheaper bands they are entitled to under ERA rules.</w:t>
      </w:r>
    </w:p>
    <w:p>
      <w:pPr>
        <w:spacing w:before="240" w:after="80"/>
      </w:pPr>
      <w:r>
        <w:rPr>
          <w:b/>
          <w:color w:val="1D4ED8"/>
          <w:sz w:val="26"/>
        </w:rPr>
        <w:t>3.4  Keeping the System Up to Date with ERA Rate Changes</w:t>
      </w:r>
    </w:p>
    <w:p>
      <w:pPr>
        <w:spacing w:after="120"/>
      </w:pPr>
      <w:r>
        <w:rPr>
          <w:sz w:val="22"/>
        </w:rPr>
        <w:t>ERA reviews tariffs every quarter. When new rates are published, the admin does not need to change any code. The process is:</w:t>
      </w:r>
    </w:p>
    <w:p>
      <w:pPr>
        <w:pStyle w:val="ListBullet"/>
        <w:spacing w:after="60"/>
      </w:pPr>
      <w:r>
        <w:rPr>
          <w:sz w:val="22"/>
        </w:rPr>
        <w:t>Admin logs in to the Admin panel.</w:t>
      </w:r>
    </w:p>
    <w:p>
      <w:pPr>
        <w:pStyle w:val="ListBullet"/>
        <w:spacing w:after="60"/>
      </w:pPr>
      <w:r>
        <w:rPr>
          <w:sz w:val="22"/>
        </w:rPr>
        <w:t>Navigates to Tariffs and opens CODE10.1 (or creates a new version).</w:t>
      </w:r>
    </w:p>
    <w:p>
      <w:pPr>
        <w:pStyle w:val="ListBullet"/>
        <w:spacing w:after="60"/>
      </w:pPr>
      <w:r>
        <w:rPr>
          <w:sz w:val="22"/>
        </w:rPr>
        <w:t>Updates the rate_per_unit field on each block to match the new ERA rates.</w:t>
      </w:r>
    </w:p>
    <w:p>
      <w:pPr>
        <w:pStyle w:val="ListBullet"/>
        <w:spacing w:after="60"/>
      </w:pPr>
      <w:r>
        <w:rPr>
          <w:sz w:val="22"/>
        </w:rPr>
        <w:t>Saves — all subsequent loan approvals and disbursements immediately use the new rates.</w:t>
      </w:r>
    </w:p>
    <w:p>
      <w:pPr>
        <w:spacing w:after="120"/>
        <w:ind w:left="360"/>
      </w:pPr>
      <w:r>
        <w:rPr>
          <w:i/>
          <w:color w:val="6B7280"/>
          <w:sz w:val="20"/>
        </w:rPr>
        <w:t>Best practice: create a new tariff record for the new quarter (e.g. CODE10.1-Q2-2026) rather than overwriting the old one. This preserves a historical record of which rate applied to each loan.</w:t>
      </w:r>
    </w:p>
    <w:p>
      <w:pPr>
        <w:spacing w:before="400" w:after="120"/>
      </w:pPr>
      <w:r>
        <w:rPr>
          <w:b/>
          <w:color w:val="0F172A"/>
          <w:sz w:val="32"/>
        </w:rPr>
        <w:t>4.  Where the Code Lives</w:t>
      </w:r>
    </w:p>
    <w:tbl>
      <w:tblPr>
        <w:tblStyle w:val="TableGrid"/>
        <w:tblW w:type="auto" w:w="0"/>
        <w:jc w:val="left"/>
        <w:tblLook w:firstColumn="1" w:firstRow="1" w:lastColumn="0" w:lastRow="0" w:noHBand="0" w:noVBand="1" w:val="04A0"/>
      </w:tblPr>
      <w:tblGrid>
        <w:gridCol w:w="4252"/>
        <w:gridCol w:w="1587"/>
        <w:gridCol w:w="3515"/>
      </w:tblGrid>
      <w:tr>
        <w:tc>
          <w:tcPr>
            <w:tcW w:type="dxa" w:w="3022"/>
          </w:tcPr>
          <w:p/>
        </w:tc>
        <w:tc>
          <w:tcPr>
            <w:tcW w:type="dxa" w:w="3022"/>
          </w:tcPr>
          <w:p/>
        </w:tc>
        <w:tc>
          <w:tcPr>
            <w:tcW w:type="dxa" w:w="3022"/>
          </w:tcPr>
          <w:p/>
        </w:tc>
      </w:tr>
      <w:tr>
        <w:tc>
          <w:tcPr>
            <w:tcW w:type="dxa" w:w="4252"/>
            <w:vAlign w:val="center"/>
            <w:shd w:val="clear" w:color="auto" w:fill="0F172A"/>
          </w:tcPr>
          <w:p>
            <w:pPr>
              <w:spacing w:after="60" w:before="60"/>
            </w:pPr>
            <w:r>
              <w:rPr>
                <w:b/>
                <w:color w:val="FFFFFF"/>
                <w:sz w:val="20"/>
              </w:rPr>
              <w:t>File Path</w:t>
            </w:r>
          </w:p>
        </w:tc>
        <w:tc>
          <w:tcPr>
            <w:tcW w:type="dxa" w:w="1587"/>
            <w:vAlign w:val="center"/>
            <w:shd w:val="clear" w:color="auto" w:fill="0F172A"/>
          </w:tcPr>
          <w:p>
            <w:pPr>
              <w:spacing w:after="60" w:before="60"/>
            </w:pPr>
            <w:r>
              <w:rPr>
                <w:b/>
                <w:color w:val="FFFFFF"/>
                <w:sz w:val="20"/>
              </w:rPr>
              <w:t>Lines</w:t>
            </w:r>
          </w:p>
        </w:tc>
        <w:tc>
          <w:tcPr>
            <w:tcW w:type="dxa" w:w="3515"/>
            <w:vAlign w:val="center"/>
            <w:shd w:val="clear" w:color="auto" w:fill="0F172A"/>
          </w:tcPr>
          <w:p>
            <w:pPr>
              <w:spacing w:after="60" w:before="60"/>
            </w:pPr>
            <w:r>
              <w:rPr>
                <w:b/>
                <w:color w:val="FFFFFF"/>
                <w:sz w:val="20"/>
              </w:rPr>
              <w:t>What is in it</w:t>
            </w:r>
          </w:p>
        </w:tc>
      </w:tr>
      <w:tr>
        <w:tc>
          <w:tcPr>
            <w:tcW w:type="dxa" w:w="4252"/>
            <w:vAlign w:val="center"/>
          </w:tcPr>
          <w:p>
            <w:pPr>
              <w:spacing w:after="60" w:before="60"/>
            </w:pPr>
            <w:r>
              <w:rPr>
                <w:sz w:val="20"/>
              </w:rPr>
              <w:t>backend/loan/models.py</w:t>
            </w:r>
          </w:p>
        </w:tc>
        <w:tc>
          <w:tcPr>
            <w:tcW w:type="dxa" w:w="1587"/>
            <w:vAlign w:val="center"/>
          </w:tcPr>
          <w:p>
            <w:pPr>
              <w:spacing w:after="60" w:before="60"/>
            </w:pPr>
            <w:r>
              <w:rPr>
                <w:sz w:val="20"/>
              </w:rPr>
              <w:t>57 – 91</w:t>
            </w:r>
          </w:p>
        </w:tc>
        <w:tc>
          <w:tcPr>
            <w:tcW w:type="dxa" w:w="3515"/>
            <w:vAlign w:val="center"/>
          </w:tcPr>
          <w:p>
            <w:pPr>
              <w:spacing w:after="60" w:before="60"/>
            </w:pPr>
            <w:r>
              <w:rPr>
                <w:sz w:val="20"/>
              </w:rPr>
              <w:t>ElectricityTariff and TariffBlock database models</w:t>
            </w:r>
          </w:p>
        </w:tc>
      </w:tr>
      <w:tr>
        <w:tc>
          <w:tcPr>
            <w:tcW w:type="dxa" w:w="4252"/>
            <w:vAlign w:val="center"/>
          </w:tcPr>
          <w:p>
            <w:pPr>
              <w:spacing w:after="60" w:before="60"/>
            </w:pPr>
            <w:r>
              <w:rPr>
                <w:sz w:val="20"/>
              </w:rPr>
              <w:t>backend/loan/models.py</w:t>
            </w:r>
          </w:p>
        </w:tc>
        <w:tc>
          <w:tcPr>
            <w:tcW w:type="dxa" w:w="1587"/>
            <w:vAlign w:val="center"/>
          </w:tcPr>
          <w:p>
            <w:pPr>
              <w:spacing w:after="60" w:before="60"/>
            </w:pPr>
            <w:r>
              <w:rPr>
                <w:sz w:val="20"/>
              </w:rPr>
              <w:t>186 – 258</w:t>
            </w:r>
          </w:p>
        </w:tc>
        <w:tc>
          <w:tcPr>
            <w:tcW w:type="dxa" w:w="3515"/>
            <w:vAlign w:val="center"/>
          </w:tcPr>
          <w:p>
            <w:pPr>
              <w:spacing w:after="60" w:before="60"/>
            </w:pPr>
            <w:r>
              <w:rPr>
                <w:sz w:val="20"/>
              </w:rPr>
              <w:t>calculate_units_from_amount() and calculate_cost_for_units()</w:t>
            </w:r>
          </w:p>
        </w:tc>
      </w:tr>
      <w:tr>
        <w:tc>
          <w:tcPr>
            <w:tcW w:type="dxa" w:w="4252"/>
            <w:vAlign w:val="center"/>
          </w:tcPr>
          <w:p>
            <w:pPr>
              <w:spacing w:after="60" w:before="60"/>
            </w:pPr>
            <w:r>
              <w:rPr>
                <w:sz w:val="20"/>
              </w:rPr>
              <w:t>backend/loan/api/views.py</w:t>
            </w:r>
          </w:p>
        </w:tc>
        <w:tc>
          <w:tcPr>
            <w:tcW w:type="dxa" w:w="1587"/>
            <w:vAlign w:val="center"/>
          </w:tcPr>
          <w:p>
            <w:pPr>
              <w:spacing w:after="60" w:before="60"/>
            </w:pPr>
            <w:r>
              <w:rPr>
                <w:sz w:val="20"/>
              </w:rPr>
              <w:t>180 – 221</w:t>
            </w:r>
          </w:p>
        </w:tc>
        <w:tc>
          <w:tcPr>
            <w:tcW w:type="dxa" w:w="3515"/>
            <w:vAlign w:val="center"/>
          </w:tcPr>
          <w:p>
            <w:pPr>
              <w:spacing w:after="60" w:before="60"/>
            </w:pPr>
            <w:r>
              <w:rPr>
                <w:sz w:val="20"/>
              </w:rPr>
              <w:t>get_cost_breakdown() — used at loan approval</w:t>
            </w:r>
          </w:p>
        </w:tc>
      </w:tr>
      <w:tr>
        <w:tc>
          <w:tcPr>
            <w:tcW w:type="dxa" w:w="4252"/>
            <w:vAlign w:val="center"/>
          </w:tcPr>
          <w:p>
            <w:pPr>
              <w:spacing w:after="60" w:before="60"/>
            </w:pPr>
            <w:r>
              <w:rPr>
                <w:sz w:val="20"/>
              </w:rPr>
              <w:t>backend/loan/api/views.py</w:t>
            </w:r>
          </w:p>
        </w:tc>
        <w:tc>
          <w:tcPr>
            <w:tcW w:type="dxa" w:w="1587"/>
            <w:vAlign w:val="center"/>
          </w:tcPr>
          <w:p>
            <w:pPr>
              <w:spacing w:after="60" w:before="60"/>
            </w:pPr>
            <w:r>
              <w:rPr>
                <w:sz w:val="20"/>
              </w:rPr>
              <w:t>544 – 582</w:t>
            </w:r>
          </w:p>
        </w:tc>
        <w:tc>
          <w:tcPr>
            <w:tcW w:type="dxa" w:w="3515"/>
            <w:vAlign w:val="center"/>
          </w:tcPr>
          <w:p>
            <w:pPr>
              <w:spacing w:after="60" w:before="60"/>
            </w:pPr>
            <w:r>
              <w:rPr>
                <w:sz w:val="20"/>
              </w:rPr>
              <w:t>get_cost_breakdown() — used at loan disbursement</w:t>
            </w:r>
          </w:p>
        </w:tc>
      </w:tr>
      <w:tr>
        <w:tc>
          <w:tcPr>
            <w:tcW w:type="dxa" w:w="4252"/>
            <w:vAlign w:val="center"/>
          </w:tcPr>
          <w:p>
            <w:pPr>
              <w:spacing w:after="60" w:before="60"/>
            </w:pPr>
            <w:r>
              <w:rPr>
                <w:sz w:val="20"/>
              </w:rPr>
              <w:t>backend/loan/api/serializers.py</w:t>
            </w:r>
          </w:p>
        </w:tc>
        <w:tc>
          <w:tcPr>
            <w:tcW w:type="dxa" w:w="1587"/>
            <w:vAlign w:val="center"/>
          </w:tcPr>
          <w:p>
            <w:pPr>
              <w:spacing w:after="60" w:before="60"/>
            </w:pPr>
            <w:r>
              <w:rPr>
                <w:sz w:val="20"/>
              </w:rPr>
              <w:t>158 – 205</w:t>
            </w:r>
          </w:p>
        </w:tc>
        <w:tc>
          <w:tcPr>
            <w:tcW w:type="dxa" w:w="3515"/>
            <w:vAlign w:val="center"/>
          </w:tcPr>
          <w:p>
            <w:pPr>
              <w:spacing w:after="60" w:before="60"/>
            </w:pPr>
            <w:r>
              <w:rPr>
                <w:sz w:val="20"/>
              </w:rPr>
              <w:t>get_units_calculated() and get_cost_breakdown() for API output</w:t>
            </w:r>
          </w:p>
        </w:tc>
      </w:tr>
      <w:tr>
        <w:tc>
          <w:tcPr>
            <w:tcW w:type="dxa" w:w="4252"/>
            <w:vAlign w:val="center"/>
          </w:tcPr>
          <w:p>
            <w:pPr>
              <w:spacing w:after="60" w:before="60"/>
            </w:pPr>
            <w:r>
              <w:rPr>
                <w:sz w:val="20"/>
              </w:rPr>
              <w:t>backend/loan/migrations/0008_tariff_system.py</w:t>
            </w:r>
          </w:p>
        </w:tc>
        <w:tc>
          <w:tcPr>
            <w:tcW w:type="dxa" w:w="1587"/>
            <w:vAlign w:val="center"/>
          </w:tcPr>
          <w:p>
            <w:pPr>
              <w:spacing w:after="60" w:before="60"/>
            </w:pPr>
            <w:r>
              <w:rPr>
                <w:sz w:val="20"/>
              </w:rPr>
              <w:t>1 – 49</w:t>
            </w:r>
          </w:p>
        </w:tc>
        <w:tc>
          <w:tcPr>
            <w:tcW w:type="dxa" w:w="3515"/>
            <w:vAlign w:val="center"/>
          </w:tcPr>
          <w:p>
            <w:pPr>
              <w:spacing w:after="60" w:before="60"/>
            </w:pPr>
            <w:r>
              <w:rPr>
                <w:sz w:val="20"/>
              </w:rPr>
              <w:t>Seed migration — creates CODE10.1 ERA domestic tariff</w:t>
            </w:r>
          </w:p>
        </w:tc>
      </w:tr>
      <w:tr>
        <w:tc>
          <w:tcPr>
            <w:tcW w:type="dxa" w:w="4252"/>
            <w:vAlign w:val="center"/>
          </w:tcPr>
          <w:p>
            <w:pPr>
              <w:spacing w:after="60" w:before="60"/>
            </w:pPr>
            <w:r>
              <w:rPr>
                <w:sz w:val="20"/>
              </w:rPr>
              <w:t>backend/admin/views.py</w:t>
            </w:r>
          </w:p>
        </w:tc>
        <w:tc>
          <w:tcPr>
            <w:tcW w:type="dxa" w:w="1587"/>
            <w:vAlign w:val="center"/>
          </w:tcPr>
          <w:p>
            <w:pPr>
              <w:spacing w:after="60" w:before="60"/>
            </w:pPr>
            <w:r>
              <w:rPr>
                <w:sz w:val="20"/>
              </w:rPr>
              <w:t>249 – 314</w:t>
            </w:r>
          </w:p>
        </w:tc>
        <w:tc>
          <w:tcPr>
            <w:tcW w:type="dxa" w:w="3515"/>
            <w:vAlign w:val="center"/>
          </w:tcPr>
          <w:p>
            <w:pPr>
              <w:spacing w:after="60" w:before="60"/>
            </w:pPr>
            <w:r>
              <w:rPr>
                <w:sz w:val="20"/>
              </w:rPr>
              <w:t>Admin REST endpoints to create / edit / delete tariffs</w:t>
            </w:r>
          </w:p>
        </w:tc>
      </w:tr>
      <w:tr>
        <w:tc>
          <w:tcPr>
            <w:tcW w:type="dxa" w:w="4252"/>
            <w:vAlign w:val="center"/>
          </w:tcPr>
          <w:p>
            <w:pPr>
              <w:spacing w:after="60" w:before="60"/>
            </w:pPr>
            <w:r>
              <w:rPr>
                <w:sz w:val="20"/>
              </w:rPr>
              <w:t>frontend/src/app/admin/tariffs/page.tsx</w:t>
            </w:r>
          </w:p>
        </w:tc>
        <w:tc>
          <w:tcPr>
            <w:tcW w:type="dxa" w:w="1587"/>
            <w:vAlign w:val="center"/>
          </w:tcPr>
          <w:p>
            <w:pPr>
              <w:spacing w:after="60" w:before="60"/>
            </w:pPr>
            <w:r>
              <w:rPr>
                <w:sz w:val="20"/>
              </w:rPr>
              <w:t>all</w:t>
            </w:r>
          </w:p>
        </w:tc>
        <w:tc>
          <w:tcPr>
            <w:tcW w:type="dxa" w:w="3515"/>
            <w:vAlign w:val="center"/>
          </w:tcPr>
          <w:p>
            <w:pPr>
              <w:spacing w:after="60" w:before="60"/>
            </w:pPr>
            <w:r>
              <w:rPr>
                <w:sz w:val="20"/>
              </w:rPr>
              <w:t>Admin UI — tariff list and editor modal</w:t>
            </w:r>
          </w:p>
        </w:tc>
      </w:tr>
    </w:tbl>
    <w:p/>
    <w:p>
      <w:pPr>
        <w:spacing w:before="400" w:after="120"/>
      </w:pPr>
      <w:r>
        <w:rPr>
          <w:b/>
          <w:color w:val="0F172A"/>
          <w:sz w:val="32"/>
        </w:rPr>
        <w:t>5.  Database Models</w:t>
      </w:r>
    </w:p>
    <w:p>
      <w:pPr>
        <w:spacing w:before="240" w:after="80"/>
      </w:pPr>
      <w:r>
        <w:rPr>
          <w:b/>
          <w:color w:val="1D4ED8"/>
          <w:sz w:val="26"/>
        </w:rPr>
        <w:t>5.1  ElectricityTariff  (the tariff header)</w:t>
      </w:r>
    </w:p>
    <w:p>
      <w:pPr>
        <w:spacing w:after="80"/>
      </w:pPr>
      <w:r>
        <w:rPr>
          <w:b/>
          <w:color w:val="6B7280"/>
          <w:sz w:val="20"/>
        </w:rPr>
        <w:t xml:space="preserve">File: </w:t>
      </w:r>
      <w:r>
        <w:rPr>
          <w:rFonts w:ascii="Courier New" w:hAnsi="Courier New"/>
          <w:color w:val="1D4ED8"/>
          <w:sz w:val="20"/>
        </w:rPr>
        <w:t>backend/loan/models.py</w:t>
      </w:r>
      <w:r>
        <w:rPr>
          <w:color w:val="6B7280"/>
          <w:sz w:val="20"/>
        </w:rPr>
        <w:t xml:space="preserve">   (lines 57 – 75)</w:t>
      </w:r>
    </w:p>
    <w:p>
      <w:pPr>
        <w:spacing w:after="120"/>
      </w:pPr>
      <w:r>
        <w:rPr>
          <w:sz w:val="22"/>
        </w:rPr>
        <w:t>Stores the tariff metadata. One tariff has many TariffBlock records linked to it. Every LoanApplication references one ElectricityTariff.</w:t>
      </w:r>
    </w:p>
    <w:p>
      <w:pPr>
        <w:pStyle w:val="ListBullet"/>
        <w:spacing w:after="60"/>
      </w:pPr>
      <w:r>
        <w:rPr>
          <w:sz w:val="22"/>
        </w:rPr>
        <w:t>tariff_code       — unique identifier, e.g. CODE10.1</w:t>
      </w:r>
    </w:p>
    <w:p>
      <w:pPr>
        <w:pStyle w:val="ListBullet"/>
        <w:spacing w:after="60"/>
      </w:pPr>
      <w:r>
        <w:rPr>
          <w:sz w:val="22"/>
        </w:rPr>
        <w:t>tariff_name       — human-readable label, e.g. Domestic Consumers</w:t>
      </w:r>
    </w:p>
    <w:p>
      <w:pPr>
        <w:pStyle w:val="ListBullet"/>
        <w:spacing w:after="60"/>
      </w:pPr>
      <w:r>
        <w:rPr>
          <w:sz w:val="22"/>
        </w:rPr>
        <w:t>tariff_type       — DOMESTIC, COMMERCIAL, or INDUSTRIAL</w:t>
      </w:r>
    </w:p>
    <w:p>
      <w:pPr>
        <w:pStyle w:val="ListBullet"/>
        <w:spacing w:after="60"/>
      </w:pPr>
      <w:r>
        <w:rPr>
          <w:sz w:val="22"/>
        </w:rPr>
        <w:t>voltage_level / voltage_value  — supply description</w:t>
      </w:r>
    </w:p>
    <w:p>
      <w:pPr>
        <w:pStyle w:val="ListBullet"/>
        <w:spacing w:after="60"/>
      </w:pPr>
      <w:r>
        <w:rPr>
          <w:sz w:val="22"/>
        </w:rPr>
        <w:t>service_charge    — fixed monthly ERA charge (currently 0 in seed data; should be 3,360 UGX)</w:t>
      </w:r>
    </w:p>
    <w:p>
      <w:pPr>
        <w:pStyle w:val="ListBullet"/>
        <w:spacing w:after="60"/>
      </w:pPr>
      <w:r>
        <w:rPr>
          <w:sz w:val="22"/>
        </w:rPr>
        <w:t>is_active         — only active tariffs appear when creating a loan</w:t>
      </w:r>
    </w:p>
    <w:p>
      <w:pPr>
        <w:spacing w:after="0" w:before="0"/>
        <w:ind w:left="432"/>
        <w:shd w:val="clear" w:color="auto" w:fill="F1F5F9"/>
      </w:pPr>
      <w:r>
        <w:rPr>
          <w:rFonts w:ascii="Courier New" w:hAnsi="Courier New"/>
          <w:color w:val="16582C"/>
          <w:sz w:val="18"/>
        </w:rPr>
        <w:t>class ElectricityTariff(models.Model):</w:t>
      </w:r>
    </w:p>
    <w:p>
      <w:pPr>
        <w:spacing w:after="0" w:before="0"/>
        <w:ind w:left="432"/>
        <w:shd w:val="clear" w:color="auto" w:fill="F1F5F9"/>
      </w:pPr>
      <w:r>
        <w:rPr>
          <w:rFonts w:ascii="Courier New" w:hAnsi="Courier New"/>
          <w:color w:val="16582C"/>
          <w:sz w:val="18"/>
        </w:rPr>
        <w:t xml:space="preserve">    TARIFF_TYPES = [('DOMESTIC','Domestic'), ('COMMERCIAL','Commercial'), ('INDUSTRIAL','Industrial')]</w:t>
      </w:r>
    </w:p>
    <w:p>
      <w:pPr>
        <w:spacing w:after="0" w:before="0"/>
        <w:ind w:left="432"/>
        <w:shd w:val="clear" w:color="auto" w:fill="F1F5F9"/>
      </w:pPr>
      <w:r>
        <w:rPr>
          <w:rFonts w:ascii="Courier New" w:hAnsi="Courier New"/>
          <w:color w:val="16582C"/>
          <w:sz w:val="18"/>
        </w:rPr>
        <w:t xml:space="preserve">    tariff_code    = models.CharField(max_length=20, unique=True)</w:t>
      </w:r>
    </w:p>
    <w:p>
      <w:pPr>
        <w:spacing w:after="0" w:before="0"/>
        <w:ind w:left="432"/>
        <w:shd w:val="clear" w:color="auto" w:fill="F1F5F9"/>
      </w:pPr>
      <w:r>
        <w:rPr>
          <w:rFonts w:ascii="Courier New" w:hAnsi="Courier New"/>
          <w:color w:val="16582C"/>
          <w:sz w:val="18"/>
        </w:rPr>
        <w:t xml:space="preserve">    tariff_name    = models.CharField(max_length=100)</w:t>
      </w:r>
    </w:p>
    <w:p>
      <w:pPr>
        <w:spacing w:after="0" w:before="0"/>
        <w:ind w:left="432"/>
        <w:shd w:val="clear" w:color="auto" w:fill="F1F5F9"/>
      </w:pPr>
      <w:r>
        <w:rPr>
          <w:rFonts w:ascii="Courier New" w:hAnsi="Courier New"/>
          <w:color w:val="16582C"/>
          <w:sz w:val="18"/>
        </w:rPr>
        <w:t xml:space="preserve">    tariff_type    = models.CharField(max_length=20, choices=TARIFF_TYPES, default='DOMESTIC')</w:t>
      </w:r>
    </w:p>
    <w:p>
      <w:pPr>
        <w:spacing w:after="0" w:before="0"/>
        <w:ind w:left="432"/>
        <w:shd w:val="clear" w:color="auto" w:fill="F1F5F9"/>
      </w:pPr>
      <w:r>
        <w:rPr>
          <w:rFonts w:ascii="Courier New" w:hAnsi="Courier New"/>
          <w:color w:val="16582C"/>
          <w:sz w:val="18"/>
        </w:rPr>
        <w:t xml:space="preserve">    voltage_level  = models.CharField(max_length=50)</w:t>
      </w:r>
    </w:p>
    <w:p>
      <w:pPr>
        <w:spacing w:after="0" w:before="0"/>
        <w:ind w:left="432"/>
        <w:shd w:val="clear" w:color="auto" w:fill="F1F5F9"/>
      </w:pPr>
      <w:r>
        <w:rPr>
          <w:rFonts w:ascii="Courier New" w:hAnsi="Courier New"/>
          <w:color w:val="16582C"/>
          <w:sz w:val="18"/>
        </w:rPr>
        <w:t xml:space="preserve">    service_charge = models.DecimalField(max_digits=8, decimal_places=2, default=0)</w:t>
      </w:r>
    </w:p>
    <w:p>
      <w:pPr>
        <w:spacing w:after="0" w:before="0"/>
        <w:ind w:left="432"/>
        <w:shd w:val="clear" w:color="auto" w:fill="F1F5F9"/>
      </w:pPr>
      <w:r>
        <w:rPr>
          <w:rFonts w:ascii="Courier New" w:hAnsi="Courier New"/>
          <w:color w:val="16582C"/>
          <w:sz w:val="18"/>
        </w:rPr>
        <w:t xml:space="preserve">    is_active      = models.BooleanField(default=True)</w:t>
      </w:r>
    </w:p>
    <w:p>
      <w:pPr>
        <w:spacing w:after="80"/>
      </w:pPr>
    </w:p>
    <w:p>
      <w:pPr>
        <w:spacing w:before="240" w:after="80"/>
      </w:pPr>
      <w:r>
        <w:rPr>
          <w:b/>
          <w:color w:val="1D4ED8"/>
          <w:sz w:val="26"/>
        </w:rPr>
        <w:t>5.2  TariffBlock  (one ERA pricing band)</w:t>
      </w:r>
    </w:p>
    <w:p>
      <w:pPr>
        <w:spacing w:after="80"/>
      </w:pPr>
      <w:r>
        <w:rPr>
          <w:b/>
          <w:color w:val="6B7280"/>
          <w:sz w:val="20"/>
        </w:rPr>
        <w:t xml:space="preserve">File: </w:t>
      </w:r>
      <w:r>
        <w:rPr>
          <w:rFonts w:ascii="Courier New" w:hAnsi="Courier New"/>
          <w:color w:val="1D4ED8"/>
          <w:sz w:val="20"/>
        </w:rPr>
        <w:t>backend/loan/models.py</w:t>
      </w:r>
      <w:r>
        <w:rPr>
          <w:color w:val="6B7280"/>
          <w:sz w:val="20"/>
        </w:rPr>
        <w:t xml:space="preserve">   (lines 76 – 91)</w:t>
      </w:r>
    </w:p>
    <w:p>
      <w:pPr>
        <w:spacing w:after="120"/>
      </w:pPr>
      <w:r>
        <w:rPr>
          <w:sz w:val="22"/>
        </w:rPr>
        <w:t>Each TariffBlock is one ERA band. Blocks are always processed in block_order — the lowest-numbered block is applied first (cheapest bands benefit the consumer first).</w:t>
      </w:r>
    </w:p>
    <w:p>
      <w:pPr>
        <w:pStyle w:val="ListBullet"/>
        <w:spacing w:after="60"/>
      </w:pPr>
      <w:r>
        <w:rPr>
          <w:sz w:val="22"/>
        </w:rPr>
        <w:t>min_units     — first unit number this band covers</w:t>
      </w:r>
    </w:p>
    <w:p>
      <w:pPr>
        <w:pStyle w:val="ListBullet"/>
        <w:spacing w:after="60"/>
      </w:pPr>
      <w:r>
        <w:rPr>
          <w:sz w:val="22"/>
        </w:rPr>
        <w:t>max_units     — last unit number this band covers  (NULL = unlimited, matches ERA's open-ended top band)</w:t>
      </w:r>
    </w:p>
    <w:p>
      <w:pPr>
        <w:pStyle w:val="ListBullet"/>
        <w:spacing w:after="60"/>
      </w:pPr>
      <w:r>
        <w:rPr>
          <w:sz w:val="22"/>
        </w:rPr>
        <w:t>rate_per_unit — ERA-declared price in UGX per kWh for this band</w:t>
      </w:r>
    </w:p>
    <w:p>
      <w:pPr>
        <w:pStyle w:val="ListBullet"/>
        <w:spacing w:after="60"/>
      </w:pPr>
      <w:r>
        <w:rPr>
          <w:sz w:val="22"/>
        </w:rPr>
        <w:t>block_order   — processing sequence matching ERA band order</w:t>
      </w:r>
    </w:p>
    <w:p>
      <w:pPr>
        <w:spacing w:after="0" w:before="0"/>
        <w:ind w:left="432"/>
        <w:shd w:val="clear" w:color="auto" w:fill="F1F5F9"/>
      </w:pPr>
      <w:r>
        <w:rPr>
          <w:rFonts w:ascii="Courier New" w:hAnsi="Courier New"/>
          <w:color w:val="16582C"/>
          <w:sz w:val="18"/>
        </w:rPr>
        <w:t>class TariffBlock(models.Model):</w:t>
      </w:r>
    </w:p>
    <w:p>
      <w:pPr>
        <w:spacing w:after="0" w:before="0"/>
        <w:ind w:left="432"/>
        <w:shd w:val="clear" w:color="auto" w:fill="F1F5F9"/>
      </w:pPr>
      <w:r>
        <w:rPr>
          <w:rFonts w:ascii="Courier New" w:hAnsi="Courier New"/>
          <w:color w:val="16582C"/>
          <w:sz w:val="18"/>
        </w:rPr>
        <w:t xml:space="preserve">    tariff        = models.ForeignKey(ElectricityTariff, related_name='blocks', on_delete=CASCADE)</w:t>
      </w:r>
    </w:p>
    <w:p>
      <w:pPr>
        <w:spacing w:after="0" w:before="0"/>
        <w:ind w:left="432"/>
        <w:shd w:val="clear" w:color="auto" w:fill="F1F5F9"/>
      </w:pPr>
      <w:r>
        <w:rPr>
          <w:rFonts w:ascii="Courier New" w:hAnsi="Courier New"/>
          <w:color w:val="16582C"/>
          <w:sz w:val="18"/>
        </w:rPr>
        <w:t xml:space="preserve">    block_name    = models.CharField(max_length=100)</w:t>
      </w:r>
    </w:p>
    <w:p>
      <w:pPr>
        <w:spacing w:after="0" w:before="0"/>
        <w:ind w:left="432"/>
        <w:shd w:val="clear" w:color="auto" w:fill="F1F5F9"/>
      </w:pPr>
      <w:r>
        <w:rPr>
          <w:rFonts w:ascii="Courier New" w:hAnsi="Courier New"/>
          <w:color w:val="16582C"/>
          <w:sz w:val="18"/>
        </w:rPr>
        <w:t xml:space="preserve">    min_units     = models.IntegerField(default=0)</w:t>
      </w:r>
    </w:p>
    <w:p>
      <w:pPr>
        <w:spacing w:after="0" w:before="0"/>
        <w:ind w:left="432"/>
        <w:shd w:val="clear" w:color="auto" w:fill="F1F5F9"/>
      </w:pPr>
      <w:r>
        <w:rPr>
          <w:rFonts w:ascii="Courier New" w:hAnsi="Courier New"/>
          <w:color w:val="16582C"/>
          <w:sz w:val="18"/>
        </w:rPr>
        <w:t xml:space="preserve">    max_units     = models.IntegerField(null=True, blank=True)   # null = unlimited (ERA top band)</w:t>
      </w:r>
    </w:p>
    <w:p>
      <w:pPr>
        <w:spacing w:after="0" w:before="0"/>
        <w:ind w:left="432"/>
        <w:shd w:val="clear" w:color="auto" w:fill="F1F5F9"/>
      </w:pPr>
      <w:r>
        <w:rPr>
          <w:rFonts w:ascii="Courier New" w:hAnsi="Courier New"/>
          <w:color w:val="16582C"/>
          <w:sz w:val="18"/>
        </w:rPr>
        <w:t xml:space="preserve">    rate_per_unit = models.DecimalField(max_digits=8, decimal_places=2)</w:t>
      </w:r>
    </w:p>
    <w:p>
      <w:pPr>
        <w:spacing w:after="0" w:before="0"/>
        <w:ind w:left="432"/>
        <w:shd w:val="clear" w:color="auto" w:fill="F1F5F9"/>
      </w:pPr>
      <w:r>
        <w:rPr>
          <w:rFonts w:ascii="Courier New" w:hAnsi="Courier New"/>
          <w:color w:val="16582C"/>
          <w:sz w:val="18"/>
        </w:rPr>
        <w:t xml:space="preserve">    block_order   = models.IntegerField(default=0)</w:t>
      </w:r>
    </w:p>
    <w:p>
      <w:pPr>
        <w:spacing w:after="0" w:before="0"/>
        <w:ind w:left="432"/>
        <w:shd w:val="clear" w:color="auto" w:fill="F1F5F9"/>
      </w:pPr>
      <w:r>
        <w:rPr>
          <w:rFonts w:ascii="Courier New" w:hAnsi="Courier New"/>
          <w:color w:val="16582C"/>
          <w:sz w:val="18"/>
        </w:rPr>
      </w:r>
    </w:p>
    <w:p>
      <w:pPr>
        <w:spacing w:after="0" w:before="0"/>
        <w:ind w:left="432"/>
        <w:shd w:val="clear" w:color="auto" w:fill="F1F5F9"/>
      </w:pPr>
      <w:r>
        <w:rPr>
          <w:rFonts w:ascii="Courier New" w:hAnsi="Courier New"/>
          <w:color w:val="16582C"/>
          <w:sz w:val="18"/>
        </w:rPr>
        <w:t xml:space="preserve">    class Meta:</w:t>
      </w:r>
    </w:p>
    <w:p>
      <w:pPr>
        <w:spacing w:after="0" w:before="0"/>
        <w:ind w:left="432"/>
        <w:shd w:val="clear" w:color="auto" w:fill="F1F5F9"/>
      </w:pPr>
      <w:r>
        <w:rPr>
          <w:rFonts w:ascii="Courier New" w:hAnsi="Courier New"/>
          <w:color w:val="16582C"/>
          <w:sz w:val="18"/>
        </w:rPr>
        <w:t xml:space="preserve">        ordering = ['block_order']</w:t>
      </w:r>
    </w:p>
    <w:p>
      <w:pPr>
        <w:spacing w:after="80"/>
      </w:pPr>
    </w:p>
    <w:p>
      <w:pPr>
        <w:spacing w:before="400" w:after="120"/>
      </w:pPr>
      <w:r>
        <w:rPr>
          <w:b/>
          <w:color w:val="0F172A"/>
          <w:sz w:val="32"/>
        </w:rPr>
        <w:t>6.  Calculation Methods</w:t>
      </w:r>
    </w:p>
    <w:p>
      <w:pPr>
        <w:spacing w:before="240" w:after="80"/>
      </w:pPr>
      <w:r>
        <w:rPr>
          <w:b/>
          <w:color w:val="1D4ED8"/>
          <w:sz w:val="26"/>
        </w:rPr>
        <w:t>6.1  calculate_units_from_amount(amount)</w:t>
      </w:r>
    </w:p>
    <w:p>
      <w:pPr>
        <w:spacing w:after="80"/>
      </w:pPr>
      <w:r>
        <w:rPr>
          <w:b/>
          <w:color w:val="6B7280"/>
          <w:sz w:val="20"/>
        </w:rPr>
        <w:t xml:space="preserve">File: </w:t>
      </w:r>
      <w:r>
        <w:rPr>
          <w:rFonts w:ascii="Courier New" w:hAnsi="Courier New"/>
          <w:color w:val="1D4ED8"/>
          <w:sz w:val="20"/>
        </w:rPr>
        <w:t>backend/loan/models.py</w:t>
      </w:r>
      <w:r>
        <w:rPr>
          <w:color w:val="6B7280"/>
          <w:sz w:val="20"/>
        </w:rPr>
        <w:t xml:space="preserve">   (lines 186 – 233)</w:t>
      </w:r>
    </w:p>
    <w:p>
      <w:pPr>
        <w:spacing w:after="120"/>
      </w:pPr>
      <w:r>
        <w:rPr>
          <w:sz w:val="22"/>
        </w:rPr>
        <w:t>Answers: 'Given a loan amount in UGX, how many kWh units can that money buy under the ERA stepped tariff?' This is called when a loan is approved to determine how many electricity units the borrower will receive.</w:t>
      </w:r>
    </w:p>
    <w:p>
      <w:pPr>
        <w:spacing w:after="120"/>
      </w:pPr>
      <w:r>
        <w:rPr>
          <w:sz w:val="22"/>
        </w:rPr>
        <w:t>Algorithm:</w:t>
      </w:r>
    </w:p>
    <w:p>
      <w:pPr>
        <w:pStyle w:val="ListBullet"/>
        <w:spacing w:after="60"/>
      </w:pPr>
      <w:r>
        <w:rPr>
          <w:sz w:val="22"/>
        </w:rPr>
        <w:t>Set remaining_amount = full loan amount, total_units = 0.</w:t>
      </w:r>
    </w:p>
    <w:p>
      <w:pPr>
        <w:pStyle w:val="ListBullet"/>
        <w:spacing w:after="60"/>
      </w:pPr>
      <w:r>
        <w:rPr>
          <w:sz w:val="22"/>
        </w:rPr>
        <w:t>Walk through blocks in block_order (ERA band order).</w:t>
      </w:r>
    </w:p>
    <w:p>
      <w:pPr>
        <w:pStyle w:val="ListBullet"/>
        <w:spacing w:after="60"/>
      </w:pPr>
      <w:r>
        <w:rPr>
          <w:sz w:val="22"/>
        </w:rPr>
        <w:t>For each bounded block: capacity = max_units - min_units + 1.</w:t>
      </w:r>
    </w:p>
    <w:p>
      <w:pPr>
        <w:pStyle w:val="ListBullet"/>
        <w:spacing w:after="60"/>
      </w:pPr>
      <w:r>
        <w:rPr>
          <w:sz w:val="22"/>
        </w:rPr>
        <w:t>If remaining_amount &gt;= block cost: buy all capacity units, subtract block cost, continue.</w:t>
      </w:r>
    </w:p>
    <w:p>
      <w:pPr>
        <w:pStyle w:val="ListBullet"/>
        <w:spacing w:after="60"/>
      </w:pPr>
      <w:r>
        <w:rPr>
          <w:sz w:val="22"/>
        </w:rPr>
        <w:t>If remaining_amount &lt; block cost: buy remaining_amount / rate units, stop.</w:t>
      </w:r>
    </w:p>
    <w:p>
      <w:pPr>
        <w:pStyle w:val="ListBullet"/>
        <w:spacing w:after="60"/>
      </w:pPr>
      <w:r>
        <w:rPr>
          <w:sz w:val="22"/>
        </w:rPr>
        <w:t>For the final unlimited block (ERA top band): buy remaining_amount / rate units, stop.</w:t>
      </w:r>
    </w:p>
    <w:p>
      <w:pPr>
        <w:pStyle w:val="ListBullet"/>
        <w:spacing w:after="60"/>
      </w:pPr>
      <w:r>
        <w:rPr>
          <w:sz w:val="22"/>
        </w:rPr>
        <w:t>Return rounded total_units.</w:t>
      </w:r>
    </w:p>
    <w:p>
      <w:pPr>
        <w:spacing w:after="0" w:before="0"/>
        <w:ind w:left="432"/>
        <w:shd w:val="clear" w:color="auto" w:fill="F1F5F9"/>
      </w:pPr>
      <w:r>
        <w:rPr>
          <w:rFonts w:ascii="Courier New" w:hAnsi="Courier New"/>
          <w:color w:val="16582C"/>
          <w:sz w:val="18"/>
        </w:rPr>
        <w:t>def calculate_units_from_amount(self, amount=None):</w:t>
      </w:r>
    </w:p>
    <w:p>
      <w:pPr>
        <w:spacing w:after="0" w:before="0"/>
        <w:ind w:left="432"/>
        <w:shd w:val="clear" w:color="auto" w:fill="F1F5F9"/>
      </w:pPr>
      <w:r>
        <w:rPr>
          <w:rFonts w:ascii="Courier New" w:hAnsi="Courier New"/>
          <w:color w:val="16582C"/>
          <w:sz w:val="18"/>
        </w:rPr>
        <w:t xml:space="preserve">    loan_amount = float(amount or self.amount_approved)</w:t>
      </w:r>
    </w:p>
    <w:p>
      <w:pPr>
        <w:spacing w:after="0" w:before="0"/>
        <w:ind w:left="432"/>
        <w:shd w:val="clear" w:color="auto" w:fill="F1F5F9"/>
      </w:pPr>
      <w:r>
        <w:rPr>
          <w:rFonts w:ascii="Courier New" w:hAnsi="Courier New"/>
          <w:color w:val="16582C"/>
          <w:sz w:val="18"/>
        </w:rPr>
        <w:t xml:space="preserve">    if not self.tariff:</w:t>
      </w:r>
    </w:p>
    <w:p>
      <w:pPr>
        <w:spacing w:after="0" w:before="0"/>
        <w:ind w:left="432"/>
        <w:shd w:val="clear" w:color="auto" w:fill="F1F5F9"/>
      </w:pPr>
      <w:r>
        <w:rPr>
          <w:rFonts w:ascii="Courier New" w:hAnsi="Courier New"/>
          <w:color w:val="16582C"/>
          <w:sz w:val="18"/>
        </w:rPr>
        <w:t xml:space="preserve">        return loan_amount / 500          # fallback — no tariff assigned</w:t>
      </w:r>
    </w:p>
    <w:p>
      <w:pPr>
        <w:spacing w:after="0" w:before="0"/>
        <w:ind w:left="432"/>
        <w:shd w:val="clear" w:color="auto" w:fill="F1F5F9"/>
      </w:pPr>
      <w:r>
        <w:rPr>
          <w:rFonts w:ascii="Courier New" w:hAnsi="Courier New"/>
          <w:color w:val="16582C"/>
          <w:sz w:val="18"/>
        </w:rPr>
      </w:r>
    </w:p>
    <w:p>
      <w:pPr>
        <w:spacing w:after="0" w:before="0"/>
        <w:ind w:left="432"/>
        <w:shd w:val="clear" w:color="auto" w:fill="F1F5F9"/>
      </w:pPr>
      <w:r>
        <w:rPr>
          <w:rFonts w:ascii="Courier New" w:hAnsi="Courier New"/>
          <w:color w:val="16582C"/>
          <w:sz w:val="18"/>
        </w:rPr>
        <w:t xml:space="preserve">    blocks           = self.tariff.blocks.all().order_by('block_order')</w:t>
      </w:r>
    </w:p>
    <w:p>
      <w:pPr>
        <w:spacing w:after="0" w:before="0"/>
        <w:ind w:left="432"/>
        <w:shd w:val="clear" w:color="auto" w:fill="F1F5F9"/>
      </w:pPr>
      <w:r>
        <w:rPr>
          <w:rFonts w:ascii="Courier New" w:hAnsi="Courier New"/>
          <w:color w:val="16582C"/>
          <w:sz w:val="18"/>
        </w:rPr>
        <w:t xml:space="preserve">    remaining_amount = loan_amount</w:t>
      </w:r>
    </w:p>
    <w:p>
      <w:pPr>
        <w:spacing w:after="0" w:before="0"/>
        <w:ind w:left="432"/>
        <w:shd w:val="clear" w:color="auto" w:fill="F1F5F9"/>
      </w:pPr>
      <w:r>
        <w:rPr>
          <w:rFonts w:ascii="Courier New" w:hAnsi="Courier New"/>
          <w:color w:val="16582C"/>
          <w:sz w:val="18"/>
        </w:rPr>
        <w:t xml:space="preserve">    total_units      = 0</w:t>
      </w:r>
    </w:p>
    <w:p>
      <w:pPr>
        <w:spacing w:after="0" w:before="0"/>
        <w:ind w:left="432"/>
        <w:shd w:val="clear" w:color="auto" w:fill="F1F5F9"/>
      </w:pPr>
      <w:r>
        <w:rPr>
          <w:rFonts w:ascii="Courier New" w:hAnsi="Courier New"/>
          <w:color w:val="16582C"/>
          <w:sz w:val="18"/>
        </w:rPr>
      </w:r>
    </w:p>
    <w:p>
      <w:pPr>
        <w:spacing w:after="0" w:before="0"/>
        <w:ind w:left="432"/>
        <w:shd w:val="clear" w:color="auto" w:fill="F1F5F9"/>
      </w:pPr>
      <w:r>
        <w:rPr>
          <w:rFonts w:ascii="Courier New" w:hAnsi="Courier New"/>
          <w:color w:val="16582C"/>
          <w:sz w:val="18"/>
        </w:rPr>
        <w:t xml:space="preserve">    for block in blocks:</w:t>
      </w:r>
    </w:p>
    <w:p>
      <w:pPr>
        <w:spacing w:after="0" w:before="0"/>
        <w:ind w:left="432"/>
        <w:shd w:val="clear" w:color="auto" w:fill="F1F5F9"/>
      </w:pPr>
      <w:r>
        <w:rPr>
          <w:rFonts w:ascii="Courier New" w:hAnsi="Courier New"/>
          <w:color w:val="16582C"/>
          <w:sz w:val="18"/>
        </w:rPr>
        <w:t xml:space="preserve">        if remaining_amount &lt;= 0:</w:t>
      </w:r>
    </w:p>
    <w:p>
      <w:pPr>
        <w:spacing w:after="0" w:before="0"/>
        <w:ind w:left="432"/>
        <w:shd w:val="clear" w:color="auto" w:fill="F1F5F9"/>
      </w:pPr>
      <w:r>
        <w:rPr>
          <w:rFonts w:ascii="Courier New" w:hAnsi="Courier New"/>
          <w:color w:val="16582C"/>
          <w:sz w:val="18"/>
        </w:rPr>
        <w:t xml:space="preserve">            break</w:t>
      </w:r>
    </w:p>
    <w:p>
      <w:pPr>
        <w:spacing w:after="0" w:before="0"/>
        <w:ind w:left="432"/>
        <w:shd w:val="clear" w:color="auto" w:fill="F1F5F9"/>
      </w:pPr>
      <w:r>
        <w:rPr>
          <w:rFonts w:ascii="Courier New" w:hAnsi="Courier New"/>
          <w:color w:val="16582C"/>
          <w:sz w:val="18"/>
        </w:rPr>
        <w:t xml:space="preserve">        if block.max_units:                                 # bounded ERA band</w:t>
      </w:r>
    </w:p>
    <w:p>
      <w:pPr>
        <w:spacing w:after="0" w:before="0"/>
        <w:ind w:left="432"/>
        <w:shd w:val="clear" w:color="auto" w:fill="F1F5F9"/>
      </w:pPr>
      <w:r>
        <w:rPr>
          <w:rFonts w:ascii="Courier New" w:hAnsi="Courier New"/>
          <w:color w:val="16582C"/>
          <w:sz w:val="18"/>
        </w:rPr>
        <w:t xml:space="preserve">            capacity   = block.max_units - block.min_units + 1</w:t>
      </w:r>
    </w:p>
    <w:p>
      <w:pPr>
        <w:spacing w:after="0" w:before="0"/>
        <w:ind w:left="432"/>
        <w:shd w:val="clear" w:color="auto" w:fill="F1F5F9"/>
      </w:pPr>
      <w:r>
        <w:rPr>
          <w:rFonts w:ascii="Courier New" w:hAnsi="Courier New"/>
          <w:color w:val="16582C"/>
          <w:sz w:val="18"/>
        </w:rPr>
        <w:t xml:space="preserve">            block_cost = capacity * float(block.rate_per_unit)</w:t>
      </w:r>
    </w:p>
    <w:p>
      <w:pPr>
        <w:spacing w:after="0" w:before="0"/>
        <w:ind w:left="432"/>
        <w:shd w:val="clear" w:color="auto" w:fill="F1F5F9"/>
      </w:pPr>
      <w:r>
        <w:rPr>
          <w:rFonts w:ascii="Courier New" w:hAnsi="Courier New"/>
          <w:color w:val="16582C"/>
          <w:sz w:val="18"/>
        </w:rPr>
        <w:t xml:space="preserve">            if remaining_amount &gt;= block_cost:              # full block</w:t>
      </w:r>
    </w:p>
    <w:p>
      <w:pPr>
        <w:spacing w:after="0" w:before="0"/>
        <w:ind w:left="432"/>
        <w:shd w:val="clear" w:color="auto" w:fill="F1F5F9"/>
      </w:pPr>
      <w:r>
        <w:rPr>
          <w:rFonts w:ascii="Courier New" w:hAnsi="Courier New"/>
          <w:color w:val="16582C"/>
          <w:sz w:val="18"/>
        </w:rPr>
        <w:t xml:space="preserve">                total_units      += capacity</w:t>
      </w:r>
    </w:p>
    <w:p>
      <w:pPr>
        <w:spacing w:after="0" w:before="0"/>
        <w:ind w:left="432"/>
        <w:shd w:val="clear" w:color="auto" w:fill="F1F5F9"/>
      </w:pPr>
      <w:r>
        <w:rPr>
          <w:rFonts w:ascii="Courier New" w:hAnsi="Courier New"/>
          <w:color w:val="16582C"/>
          <w:sz w:val="18"/>
        </w:rPr>
        <w:t xml:space="preserve">                remaining_amount -= block_cost</w:t>
      </w:r>
    </w:p>
    <w:p>
      <w:pPr>
        <w:spacing w:after="0" w:before="0"/>
        <w:ind w:left="432"/>
        <w:shd w:val="clear" w:color="auto" w:fill="F1F5F9"/>
      </w:pPr>
      <w:r>
        <w:rPr>
          <w:rFonts w:ascii="Courier New" w:hAnsi="Courier New"/>
          <w:color w:val="16582C"/>
          <w:sz w:val="18"/>
        </w:rPr>
        <w:t xml:space="preserve">            else:                                           # partial block</w:t>
      </w:r>
    </w:p>
    <w:p>
      <w:pPr>
        <w:spacing w:after="0" w:before="0"/>
        <w:ind w:left="432"/>
        <w:shd w:val="clear" w:color="auto" w:fill="F1F5F9"/>
      </w:pPr>
      <w:r>
        <w:rPr>
          <w:rFonts w:ascii="Courier New" w:hAnsi="Courier New"/>
          <w:color w:val="16582C"/>
          <w:sz w:val="18"/>
        </w:rPr>
        <w:t xml:space="preserve">                total_units      += remaining_amount / float(block.rate_per_unit)</w:t>
      </w:r>
    </w:p>
    <w:p>
      <w:pPr>
        <w:spacing w:after="0" w:before="0"/>
        <w:ind w:left="432"/>
        <w:shd w:val="clear" w:color="auto" w:fill="F1F5F9"/>
      </w:pPr>
      <w:r>
        <w:rPr>
          <w:rFonts w:ascii="Courier New" w:hAnsi="Courier New"/>
          <w:color w:val="16582C"/>
          <w:sz w:val="18"/>
        </w:rPr>
        <w:t xml:space="preserve">                remaining_amount  = 0</w:t>
      </w:r>
    </w:p>
    <w:p>
      <w:pPr>
        <w:spacing w:after="0" w:before="0"/>
        <w:ind w:left="432"/>
        <w:shd w:val="clear" w:color="auto" w:fill="F1F5F9"/>
      </w:pPr>
      <w:r>
        <w:rPr>
          <w:rFonts w:ascii="Courier New" w:hAnsi="Courier New"/>
          <w:color w:val="16582C"/>
          <w:sz w:val="18"/>
        </w:rPr>
        <w:t xml:space="preserve">                break</w:t>
      </w:r>
    </w:p>
    <w:p>
      <w:pPr>
        <w:spacing w:after="0" w:before="0"/>
        <w:ind w:left="432"/>
        <w:shd w:val="clear" w:color="auto" w:fill="F1F5F9"/>
      </w:pPr>
      <w:r>
        <w:rPr>
          <w:rFonts w:ascii="Courier New" w:hAnsi="Courier New"/>
          <w:color w:val="16582C"/>
          <w:sz w:val="18"/>
        </w:rPr>
        <w:t xml:space="preserve">        else:                                               # open-ended top ERA band</w:t>
      </w:r>
    </w:p>
    <w:p>
      <w:pPr>
        <w:spacing w:after="0" w:before="0"/>
        <w:ind w:left="432"/>
        <w:shd w:val="clear" w:color="auto" w:fill="F1F5F9"/>
      </w:pPr>
      <w:r>
        <w:rPr>
          <w:rFonts w:ascii="Courier New" w:hAnsi="Courier New"/>
          <w:color w:val="16582C"/>
          <w:sz w:val="18"/>
        </w:rPr>
        <w:t xml:space="preserve">            total_units += remaining_amount / float(block.rate_per_unit)</w:t>
      </w:r>
    </w:p>
    <w:p>
      <w:pPr>
        <w:spacing w:after="0" w:before="0"/>
        <w:ind w:left="432"/>
        <w:shd w:val="clear" w:color="auto" w:fill="F1F5F9"/>
      </w:pPr>
      <w:r>
        <w:rPr>
          <w:rFonts w:ascii="Courier New" w:hAnsi="Courier New"/>
          <w:color w:val="16582C"/>
          <w:sz w:val="18"/>
        </w:rPr>
        <w:t xml:space="preserve">            break</w:t>
      </w:r>
    </w:p>
    <w:p>
      <w:pPr>
        <w:spacing w:after="0" w:before="0"/>
        <w:ind w:left="432"/>
        <w:shd w:val="clear" w:color="auto" w:fill="F1F5F9"/>
      </w:pPr>
      <w:r>
        <w:rPr>
          <w:rFonts w:ascii="Courier New" w:hAnsi="Courier New"/>
          <w:color w:val="16582C"/>
          <w:sz w:val="18"/>
        </w:rPr>
      </w:r>
    </w:p>
    <w:p>
      <w:pPr>
        <w:spacing w:after="0" w:before="0"/>
        <w:ind w:left="432"/>
        <w:shd w:val="clear" w:color="auto" w:fill="F1F5F9"/>
      </w:pPr>
      <w:r>
        <w:rPr>
          <w:rFonts w:ascii="Courier New" w:hAnsi="Courier New"/>
          <w:color w:val="16582C"/>
          <w:sz w:val="18"/>
        </w:rPr>
        <w:t xml:space="preserve">    return round(total_units)</w:t>
      </w:r>
    </w:p>
    <w:p>
      <w:pPr>
        <w:spacing w:after="80"/>
      </w:pPr>
    </w:p>
    <w:p>
      <w:pPr>
        <w:spacing w:before="240" w:after="80"/>
      </w:pPr>
      <w:r>
        <w:rPr>
          <w:b/>
          <w:color w:val="1D4ED8"/>
          <w:sz w:val="26"/>
        </w:rPr>
        <w:t>6.2  calculate_cost_for_units(units)</w:t>
      </w:r>
    </w:p>
    <w:p>
      <w:pPr>
        <w:spacing w:after="80"/>
      </w:pPr>
      <w:r>
        <w:rPr>
          <w:b/>
          <w:color w:val="6B7280"/>
          <w:sz w:val="20"/>
        </w:rPr>
        <w:t xml:space="preserve">File: </w:t>
      </w:r>
      <w:r>
        <w:rPr>
          <w:rFonts w:ascii="Courier New" w:hAnsi="Courier New"/>
          <w:color w:val="1D4ED8"/>
          <w:sz w:val="20"/>
        </w:rPr>
        <w:t>backend/loan/models.py</w:t>
      </w:r>
      <w:r>
        <w:rPr>
          <w:color w:val="6B7280"/>
          <w:sz w:val="20"/>
        </w:rPr>
        <w:t xml:space="preserve">   (lines 235 – 258)</w:t>
      </w:r>
    </w:p>
    <w:p>
      <w:pPr>
        <w:spacing w:after="120"/>
      </w:pPr>
      <w:r>
        <w:rPr>
          <w:sz w:val="22"/>
        </w:rPr>
        <w:t>The reverse: 'Given a number of kWh units, what is the total ERA cost?' Walks the same blocks accumulating cost rather than units.</w:t>
      </w:r>
    </w:p>
    <w:p>
      <w:pPr>
        <w:spacing w:after="0" w:before="0"/>
        <w:ind w:left="432"/>
        <w:shd w:val="clear" w:color="auto" w:fill="F1F5F9"/>
      </w:pPr>
      <w:r>
        <w:rPr>
          <w:rFonts w:ascii="Courier New" w:hAnsi="Courier New"/>
          <w:color w:val="16582C"/>
          <w:sz w:val="18"/>
        </w:rPr>
        <w:t>def calculate_cost_for_units(self, units):</w:t>
      </w:r>
    </w:p>
    <w:p>
      <w:pPr>
        <w:spacing w:after="0" w:before="0"/>
        <w:ind w:left="432"/>
        <w:shd w:val="clear" w:color="auto" w:fill="F1F5F9"/>
      </w:pPr>
      <w:r>
        <w:rPr>
          <w:rFonts w:ascii="Courier New" w:hAnsi="Courier New"/>
          <w:color w:val="16582C"/>
          <w:sz w:val="18"/>
        </w:rPr>
        <w:t xml:space="preserve">    if not self.tariff:</w:t>
      </w:r>
    </w:p>
    <w:p>
      <w:pPr>
        <w:spacing w:after="0" w:before="0"/>
        <w:ind w:left="432"/>
        <w:shd w:val="clear" w:color="auto" w:fill="F1F5F9"/>
      </w:pPr>
      <w:r>
        <w:rPr>
          <w:rFonts w:ascii="Courier New" w:hAnsi="Courier New"/>
          <w:color w:val="16582C"/>
          <w:sz w:val="18"/>
        </w:rPr>
        <w:t xml:space="preserve">        return units * 500</w:t>
      </w:r>
    </w:p>
    <w:p>
      <w:pPr>
        <w:spacing w:after="0" w:before="0"/>
        <w:ind w:left="432"/>
        <w:shd w:val="clear" w:color="auto" w:fill="F1F5F9"/>
      </w:pPr>
      <w:r>
        <w:rPr>
          <w:rFonts w:ascii="Courier New" w:hAnsi="Courier New"/>
          <w:color w:val="16582C"/>
          <w:sz w:val="18"/>
        </w:rPr>
        <w:t xml:space="preserve">    blocks          = self.tariff.blocks.all().order_by('block_order')</w:t>
      </w:r>
    </w:p>
    <w:p>
      <w:pPr>
        <w:spacing w:after="0" w:before="0"/>
        <w:ind w:left="432"/>
        <w:shd w:val="clear" w:color="auto" w:fill="F1F5F9"/>
      </w:pPr>
      <w:r>
        <w:rPr>
          <w:rFonts w:ascii="Courier New" w:hAnsi="Courier New"/>
          <w:color w:val="16582C"/>
          <w:sz w:val="18"/>
        </w:rPr>
        <w:t xml:space="preserve">    remaining_units = units</w:t>
      </w:r>
    </w:p>
    <w:p>
      <w:pPr>
        <w:spacing w:after="0" w:before="0"/>
        <w:ind w:left="432"/>
        <w:shd w:val="clear" w:color="auto" w:fill="F1F5F9"/>
      </w:pPr>
      <w:r>
        <w:rPr>
          <w:rFonts w:ascii="Courier New" w:hAnsi="Courier New"/>
          <w:color w:val="16582C"/>
          <w:sz w:val="18"/>
        </w:rPr>
        <w:t xml:space="preserve">    total_cost      = 0</w:t>
      </w:r>
    </w:p>
    <w:p>
      <w:pPr>
        <w:spacing w:after="0" w:before="0"/>
        <w:ind w:left="432"/>
        <w:shd w:val="clear" w:color="auto" w:fill="F1F5F9"/>
      </w:pPr>
      <w:r>
        <w:rPr>
          <w:rFonts w:ascii="Courier New" w:hAnsi="Courier New"/>
          <w:color w:val="16582C"/>
          <w:sz w:val="18"/>
        </w:rPr>
        <w:t xml:space="preserve">    for block in blocks:</w:t>
      </w:r>
    </w:p>
    <w:p>
      <w:pPr>
        <w:spacing w:after="0" w:before="0"/>
        <w:ind w:left="432"/>
        <w:shd w:val="clear" w:color="auto" w:fill="F1F5F9"/>
      </w:pPr>
      <w:r>
        <w:rPr>
          <w:rFonts w:ascii="Courier New" w:hAnsi="Courier New"/>
          <w:color w:val="16582C"/>
          <w:sz w:val="18"/>
        </w:rPr>
        <w:t xml:space="preserve">        if remaining_units &lt;= 0:</w:t>
      </w:r>
    </w:p>
    <w:p>
      <w:pPr>
        <w:spacing w:after="0" w:before="0"/>
        <w:ind w:left="432"/>
        <w:shd w:val="clear" w:color="auto" w:fill="F1F5F9"/>
      </w:pPr>
      <w:r>
        <w:rPr>
          <w:rFonts w:ascii="Courier New" w:hAnsi="Courier New"/>
          <w:color w:val="16582C"/>
          <w:sz w:val="18"/>
        </w:rPr>
        <w:t xml:space="preserve">            break</w:t>
      </w:r>
    </w:p>
    <w:p>
      <w:pPr>
        <w:spacing w:after="0" w:before="0"/>
        <w:ind w:left="432"/>
        <w:shd w:val="clear" w:color="auto" w:fill="F1F5F9"/>
      </w:pPr>
      <w:r>
        <w:rPr>
          <w:rFonts w:ascii="Courier New" w:hAnsi="Courier New"/>
          <w:color w:val="16582C"/>
          <w:sz w:val="18"/>
        </w:rPr>
        <w:t xml:space="preserve">        capacity       = (block.max_units - block.min_units + 1) if block.max_units else remaining_units</w:t>
      </w:r>
    </w:p>
    <w:p>
      <w:pPr>
        <w:spacing w:after="0" w:before="0"/>
        <w:ind w:left="432"/>
        <w:shd w:val="clear" w:color="auto" w:fill="F1F5F9"/>
      </w:pPr>
      <w:r>
        <w:rPr>
          <w:rFonts w:ascii="Courier New" w:hAnsi="Courier New"/>
          <w:color w:val="16582C"/>
          <w:sz w:val="18"/>
        </w:rPr>
        <w:t xml:space="preserve">        units_in_block = min(remaining_units, capacity)</w:t>
      </w:r>
    </w:p>
    <w:p>
      <w:pPr>
        <w:spacing w:after="0" w:before="0"/>
        <w:ind w:left="432"/>
        <w:shd w:val="clear" w:color="auto" w:fill="F1F5F9"/>
      </w:pPr>
      <w:r>
        <w:rPr>
          <w:rFonts w:ascii="Courier New" w:hAnsi="Courier New"/>
          <w:color w:val="16582C"/>
          <w:sz w:val="18"/>
        </w:rPr>
        <w:t xml:space="preserve">        total_cost      += units_in_block * float(block.rate_per_unit)</w:t>
      </w:r>
    </w:p>
    <w:p>
      <w:pPr>
        <w:spacing w:after="0" w:before="0"/>
        <w:ind w:left="432"/>
        <w:shd w:val="clear" w:color="auto" w:fill="F1F5F9"/>
      </w:pPr>
      <w:r>
        <w:rPr>
          <w:rFonts w:ascii="Courier New" w:hAnsi="Courier New"/>
          <w:color w:val="16582C"/>
          <w:sz w:val="18"/>
        </w:rPr>
        <w:t xml:space="preserve">        remaining_units -= units_in_block</w:t>
      </w:r>
    </w:p>
    <w:p>
      <w:pPr>
        <w:spacing w:after="0" w:before="0"/>
        <w:ind w:left="432"/>
        <w:shd w:val="clear" w:color="auto" w:fill="F1F5F9"/>
      </w:pPr>
      <w:r>
        <w:rPr>
          <w:rFonts w:ascii="Courier New" w:hAnsi="Courier New"/>
          <w:color w:val="16582C"/>
          <w:sz w:val="18"/>
        </w:rPr>
        <w:t xml:space="preserve">    return total_cost</w:t>
      </w:r>
    </w:p>
    <w:p>
      <w:pPr>
        <w:spacing w:after="80"/>
      </w:pPr>
    </w:p>
    <w:p>
      <w:pPr>
        <w:spacing w:before="240" w:after="80"/>
      </w:pPr>
      <w:r>
        <w:rPr>
          <w:b/>
          <w:color w:val="1D4ED8"/>
          <w:sz w:val="26"/>
        </w:rPr>
        <w:t>6.3  get_cost_breakdown(loan, amount)</w:t>
      </w:r>
    </w:p>
    <w:p>
      <w:pPr>
        <w:spacing w:after="80"/>
      </w:pPr>
      <w:r>
        <w:rPr>
          <w:b/>
          <w:color w:val="6B7280"/>
          <w:sz w:val="20"/>
        </w:rPr>
        <w:t xml:space="preserve">File: </w:t>
      </w:r>
      <w:r>
        <w:rPr>
          <w:rFonts w:ascii="Courier New" w:hAnsi="Courier New"/>
          <w:color w:val="1D4ED8"/>
          <w:sz w:val="20"/>
        </w:rPr>
        <w:t>backend/loan/api/views.py</w:t>
      </w:r>
      <w:r>
        <w:rPr>
          <w:color w:val="6B7280"/>
          <w:sz w:val="20"/>
        </w:rPr>
        <w:t xml:space="preserve">   (lines 180 – 221   |   serializers.py 164 – 205)</w:t>
      </w:r>
    </w:p>
    <w:p>
      <w:pPr>
        <w:spacing w:after="120"/>
      </w:pPr>
      <w:r>
        <w:rPr>
          <w:sz w:val="22"/>
        </w:rPr>
        <w:t>Returns a per-band breakdown for the admin dashboard — showing exactly how much of the loan is spent in each ERA band and how many units are bought per band.</w:t>
      </w:r>
    </w:p>
    <w:p>
      <w:pPr>
        <w:pStyle w:val="ListBullet"/>
        <w:spacing w:after="60"/>
      </w:pPr>
      <w:r>
        <w:rPr>
          <w:sz w:val="22"/>
        </w:rPr>
        <w:t>block_name   — ERA band name (e.g. 'First 15 kWh')</w:t>
      </w:r>
    </w:p>
    <w:p>
      <w:pPr>
        <w:pStyle w:val="ListBullet"/>
        <w:spacing w:after="60"/>
      </w:pPr>
      <w:r>
        <w:rPr>
          <w:sz w:val="22"/>
        </w:rPr>
        <w:t>units        — kWh bought from this band</w:t>
      </w:r>
    </w:p>
    <w:p>
      <w:pPr>
        <w:pStyle w:val="ListBullet"/>
        <w:spacing w:after="60"/>
      </w:pPr>
      <w:r>
        <w:rPr>
          <w:sz w:val="22"/>
        </w:rPr>
        <w:t>rate         — ERA rate for this band (UGX/kWh)</w:t>
      </w:r>
    </w:p>
    <w:p>
      <w:pPr>
        <w:pStyle w:val="ListBullet"/>
        <w:spacing w:after="60"/>
      </w:pPr>
      <w:r>
        <w:rPr>
          <w:sz w:val="22"/>
        </w:rPr>
        <w:t>cost         — UGX spent in this band</w:t>
      </w:r>
    </w:p>
    <w:p>
      <w:pPr>
        <w:pStyle w:val="ListBullet"/>
        <w:spacing w:after="60"/>
      </w:pPr>
      <w:r>
        <w:rPr>
          <w:sz w:val="22"/>
        </w:rPr>
        <w:t>block_range  — e.g. '1-15' or '151-inf'</w:t>
      </w:r>
    </w:p>
    <w:p>
      <w:pPr>
        <w:spacing w:before="400" w:after="120"/>
      </w:pPr>
      <w:r>
        <w:rPr>
          <w:b/>
          <w:color w:val="0F172A"/>
          <w:sz w:val="32"/>
        </w:rPr>
        <w:t>7.  Worked Example  —  Loan of 100,000 UGX</w:t>
      </w:r>
    </w:p>
    <w:p>
      <w:pPr>
        <w:spacing w:after="120"/>
      </w:pPr>
      <w:r>
        <w:rPr>
          <w:sz w:val="22"/>
        </w:rPr>
        <w:t>Using the CODE10.1 ERA tariff, a loan of 100,000 UGX steps through all four ERA bands:</w:t>
      </w:r>
    </w:p>
    <w:tbl>
      <w:tblPr>
        <w:tblStyle w:val="TableGrid"/>
        <w:tblW w:type="auto" w:w="0"/>
        <w:jc w:val="left"/>
        <w:tblLook w:firstColumn="1" w:firstRow="1" w:lastColumn="0" w:lastRow="0" w:noHBand="0" w:noVBand="1" w:val="04A0"/>
      </w:tblPr>
      <w:tblGrid>
        <w:gridCol w:w="1511"/>
        <w:gridCol w:w="1511"/>
        <w:gridCol w:w="1511"/>
        <w:gridCol w:w="1511"/>
        <w:gridCol w:w="1511"/>
        <w:gridCol w:w="1511"/>
      </w:tblGrid>
      <w:tr>
        <w:tc>
          <w:tcPr>
            <w:tcW w:type="dxa" w:w="1511"/>
          </w:tcPr>
          <w:p/>
        </w:tc>
        <w:tc>
          <w:tcPr>
            <w:tcW w:type="dxa" w:w="1511"/>
          </w:tcPr>
          <w:p/>
        </w:tc>
        <w:tc>
          <w:tcPr>
            <w:tcW w:type="dxa" w:w="1511"/>
          </w:tcPr>
          <w:p/>
        </w:tc>
        <w:tc>
          <w:tcPr>
            <w:tcW w:type="dxa" w:w="1511"/>
          </w:tcPr>
          <w:p/>
        </w:tc>
        <w:tc>
          <w:tcPr>
            <w:tcW w:type="dxa" w:w="1511"/>
          </w:tcPr>
          <w:p/>
        </w:tc>
        <w:tc>
          <w:tcPr>
            <w:tcW w:type="dxa" w:w="1511"/>
          </w:tcPr>
          <w:p/>
        </w:tc>
      </w:tr>
      <w:tr>
        <w:tc>
          <w:tcPr>
            <w:tcW w:type="dxa" w:w="1511"/>
            <w:vAlign w:val="center"/>
            <w:shd w:val="clear" w:color="auto" w:fill="0F172A"/>
          </w:tcPr>
          <w:p>
            <w:pPr>
              <w:spacing w:after="60" w:before="60"/>
            </w:pPr>
            <w:r>
              <w:rPr>
                <w:b/>
                <w:color w:val="FFFFFF"/>
                <w:sz w:val="20"/>
              </w:rPr>
              <w:t>ERA Band</w:t>
            </w:r>
          </w:p>
        </w:tc>
        <w:tc>
          <w:tcPr>
            <w:tcW w:type="dxa" w:w="1511"/>
            <w:vAlign w:val="center"/>
            <w:shd w:val="clear" w:color="auto" w:fill="0F172A"/>
          </w:tcPr>
          <w:p>
            <w:pPr>
              <w:spacing w:after="60" w:before="60"/>
            </w:pPr>
            <w:r>
              <w:rPr>
                <w:b/>
                <w:color w:val="FFFFFF"/>
                <w:sz w:val="20"/>
              </w:rPr>
              <w:t>Range (kWh)</w:t>
            </w:r>
          </w:p>
        </w:tc>
        <w:tc>
          <w:tcPr>
            <w:tcW w:type="dxa" w:w="1511"/>
            <w:vAlign w:val="center"/>
            <w:shd w:val="clear" w:color="auto" w:fill="0F172A"/>
          </w:tcPr>
          <w:p>
            <w:pPr>
              <w:spacing w:after="60" w:before="60"/>
            </w:pPr>
            <w:r>
              <w:rPr>
                <w:b/>
                <w:color w:val="FFFFFF"/>
                <w:sz w:val="20"/>
              </w:rPr>
              <w:t>Rate (UGX)</w:t>
            </w:r>
          </w:p>
        </w:tc>
        <w:tc>
          <w:tcPr>
            <w:tcW w:type="dxa" w:w="1511"/>
            <w:vAlign w:val="center"/>
            <w:shd w:val="clear" w:color="auto" w:fill="0F172A"/>
          </w:tcPr>
          <w:p>
            <w:pPr>
              <w:spacing w:after="60" w:before="60"/>
            </w:pPr>
            <w:r>
              <w:rPr>
                <w:b/>
                <w:color w:val="FFFFFF"/>
                <w:sz w:val="20"/>
              </w:rPr>
              <w:t>Units Bought</w:t>
            </w:r>
          </w:p>
        </w:tc>
        <w:tc>
          <w:tcPr>
            <w:tcW w:type="dxa" w:w="1511"/>
            <w:vAlign w:val="center"/>
            <w:shd w:val="clear" w:color="auto" w:fill="0F172A"/>
          </w:tcPr>
          <w:p>
            <w:pPr>
              <w:spacing w:after="60" w:before="60"/>
            </w:pPr>
            <w:r>
              <w:rPr>
                <w:b/>
                <w:color w:val="FFFFFF"/>
                <w:sz w:val="20"/>
              </w:rPr>
              <w:t>Cost (UGX)</w:t>
            </w:r>
          </w:p>
        </w:tc>
        <w:tc>
          <w:tcPr>
            <w:tcW w:type="dxa" w:w="1511"/>
            <w:vAlign w:val="center"/>
            <w:shd w:val="clear" w:color="auto" w:fill="0F172A"/>
          </w:tcPr>
          <w:p>
            <w:pPr>
              <w:spacing w:after="60" w:before="60"/>
            </w:pPr>
            <w:r>
              <w:rPr>
                <w:b/>
                <w:color w:val="FFFFFF"/>
                <w:sz w:val="20"/>
              </w:rPr>
              <w:t>Remaining (UGX)</w:t>
            </w:r>
          </w:p>
        </w:tc>
      </w:tr>
      <w:tr>
        <w:tc>
          <w:tcPr>
            <w:tcW w:type="dxa" w:w="1511"/>
            <w:vAlign w:val="center"/>
          </w:tcPr>
          <w:p>
            <w:pPr>
              <w:spacing w:after="60" w:before="60"/>
            </w:pPr>
            <w:r>
              <w:rPr>
                <w:sz w:val="20"/>
              </w:rPr>
              <w:t>Lifeline</w:t>
            </w:r>
          </w:p>
        </w:tc>
        <w:tc>
          <w:tcPr>
            <w:tcW w:type="dxa" w:w="1511"/>
            <w:vAlign w:val="center"/>
          </w:tcPr>
          <w:p>
            <w:pPr>
              <w:spacing w:after="60" w:before="60"/>
            </w:pPr>
            <w:r>
              <w:rPr>
                <w:sz w:val="20"/>
              </w:rPr>
              <w:t>1 – 15</w:t>
            </w:r>
          </w:p>
        </w:tc>
        <w:tc>
          <w:tcPr>
            <w:tcW w:type="dxa" w:w="1511"/>
            <w:vAlign w:val="center"/>
          </w:tcPr>
          <w:p>
            <w:pPr>
              <w:spacing w:after="60" w:before="60"/>
            </w:pPr>
            <w:r>
              <w:rPr>
                <w:sz w:val="20"/>
              </w:rPr>
              <w:t>250.00</w:t>
            </w:r>
          </w:p>
        </w:tc>
        <w:tc>
          <w:tcPr>
            <w:tcW w:type="dxa" w:w="1511"/>
            <w:vAlign w:val="center"/>
          </w:tcPr>
          <w:p>
            <w:pPr>
              <w:spacing w:after="60" w:before="60"/>
            </w:pPr>
            <w:r>
              <w:rPr>
                <w:sz w:val="20"/>
              </w:rPr>
              <w:t>15</w:t>
            </w:r>
          </w:p>
        </w:tc>
        <w:tc>
          <w:tcPr>
            <w:tcW w:type="dxa" w:w="1511"/>
            <w:vAlign w:val="center"/>
          </w:tcPr>
          <w:p>
            <w:pPr>
              <w:spacing w:after="60" w:before="60"/>
            </w:pPr>
            <w:r>
              <w:rPr>
                <w:sz w:val="20"/>
              </w:rPr>
              <w:t>3,750</w:t>
            </w:r>
          </w:p>
        </w:tc>
        <w:tc>
          <w:tcPr>
            <w:tcW w:type="dxa" w:w="1511"/>
            <w:vAlign w:val="center"/>
          </w:tcPr>
          <w:p>
            <w:pPr>
              <w:spacing w:after="60" w:before="60"/>
            </w:pPr>
            <w:r>
              <w:rPr>
                <w:sz w:val="20"/>
              </w:rPr>
              <w:t>96,250</w:t>
            </w:r>
          </w:p>
        </w:tc>
      </w:tr>
      <w:tr>
        <w:tc>
          <w:tcPr>
            <w:tcW w:type="dxa" w:w="1511"/>
            <w:vAlign w:val="center"/>
          </w:tcPr>
          <w:p>
            <w:pPr>
              <w:spacing w:after="60" w:before="60"/>
            </w:pPr>
            <w:r>
              <w:rPr>
                <w:sz w:val="20"/>
              </w:rPr>
              <w:t>Standard Domestic</w:t>
            </w:r>
          </w:p>
        </w:tc>
        <w:tc>
          <w:tcPr>
            <w:tcW w:type="dxa" w:w="1511"/>
            <w:vAlign w:val="center"/>
          </w:tcPr>
          <w:p>
            <w:pPr>
              <w:spacing w:after="60" w:before="60"/>
            </w:pPr>
            <w:r>
              <w:rPr>
                <w:sz w:val="20"/>
              </w:rPr>
              <w:t>16 – 80</w:t>
            </w:r>
          </w:p>
        </w:tc>
        <w:tc>
          <w:tcPr>
            <w:tcW w:type="dxa" w:w="1511"/>
            <w:vAlign w:val="center"/>
          </w:tcPr>
          <w:p>
            <w:pPr>
              <w:spacing w:after="60" w:before="60"/>
            </w:pPr>
            <w:r>
              <w:rPr>
                <w:sz w:val="20"/>
              </w:rPr>
              <w:t>756.20</w:t>
            </w:r>
          </w:p>
        </w:tc>
        <w:tc>
          <w:tcPr>
            <w:tcW w:type="dxa" w:w="1511"/>
            <w:vAlign w:val="center"/>
          </w:tcPr>
          <w:p>
            <w:pPr>
              <w:spacing w:after="60" w:before="60"/>
            </w:pPr>
            <w:r>
              <w:rPr>
                <w:sz w:val="20"/>
              </w:rPr>
              <w:t>65</w:t>
            </w:r>
          </w:p>
        </w:tc>
        <w:tc>
          <w:tcPr>
            <w:tcW w:type="dxa" w:w="1511"/>
            <w:vAlign w:val="center"/>
          </w:tcPr>
          <w:p>
            <w:pPr>
              <w:spacing w:after="60" w:before="60"/>
            </w:pPr>
            <w:r>
              <w:rPr>
                <w:sz w:val="20"/>
              </w:rPr>
              <w:t>49,153</w:t>
            </w:r>
          </w:p>
        </w:tc>
        <w:tc>
          <w:tcPr>
            <w:tcW w:type="dxa" w:w="1511"/>
            <w:vAlign w:val="center"/>
          </w:tcPr>
          <w:p>
            <w:pPr>
              <w:spacing w:after="60" w:before="60"/>
            </w:pPr>
            <w:r>
              <w:rPr>
                <w:sz w:val="20"/>
              </w:rPr>
              <w:t>47,097</w:t>
            </w:r>
          </w:p>
        </w:tc>
      </w:tr>
      <w:tr>
        <w:tc>
          <w:tcPr>
            <w:tcW w:type="dxa" w:w="1511"/>
            <w:vAlign w:val="center"/>
          </w:tcPr>
          <w:p>
            <w:pPr>
              <w:spacing w:after="60" w:before="60"/>
            </w:pPr>
            <w:r>
              <w:rPr>
                <w:sz w:val="20"/>
              </w:rPr>
              <w:t>Cooking Incentive</w:t>
            </w:r>
          </w:p>
        </w:tc>
        <w:tc>
          <w:tcPr>
            <w:tcW w:type="dxa" w:w="1511"/>
            <w:vAlign w:val="center"/>
          </w:tcPr>
          <w:p>
            <w:pPr>
              <w:spacing w:after="60" w:before="60"/>
            </w:pPr>
            <w:r>
              <w:rPr>
                <w:sz w:val="20"/>
              </w:rPr>
              <w:t>81 – 150</w:t>
            </w:r>
          </w:p>
        </w:tc>
        <w:tc>
          <w:tcPr>
            <w:tcW w:type="dxa" w:w="1511"/>
            <w:vAlign w:val="center"/>
          </w:tcPr>
          <w:p>
            <w:pPr>
              <w:spacing w:after="60" w:before="60"/>
            </w:pPr>
            <w:r>
              <w:rPr>
                <w:sz w:val="20"/>
              </w:rPr>
              <w:t>412.00</w:t>
            </w:r>
          </w:p>
        </w:tc>
        <w:tc>
          <w:tcPr>
            <w:tcW w:type="dxa" w:w="1511"/>
            <w:vAlign w:val="center"/>
          </w:tcPr>
          <w:p>
            <w:pPr>
              <w:spacing w:after="60" w:before="60"/>
            </w:pPr>
            <w:r>
              <w:rPr>
                <w:sz w:val="20"/>
              </w:rPr>
              <w:t>70</w:t>
            </w:r>
          </w:p>
        </w:tc>
        <w:tc>
          <w:tcPr>
            <w:tcW w:type="dxa" w:w="1511"/>
            <w:vAlign w:val="center"/>
          </w:tcPr>
          <w:p>
            <w:pPr>
              <w:spacing w:after="60" w:before="60"/>
            </w:pPr>
            <w:r>
              <w:rPr>
                <w:sz w:val="20"/>
              </w:rPr>
              <w:t>28,840</w:t>
            </w:r>
          </w:p>
        </w:tc>
        <w:tc>
          <w:tcPr>
            <w:tcW w:type="dxa" w:w="1511"/>
            <w:vAlign w:val="center"/>
          </w:tcPr>
          <w:p>
            <w:pPr>
              <w:spacing w:after="60" w:before="60"/>
            </w:pPr>
            <w:r>
              <w:rPr>
                <w:sz w:val="20"/>
              </w:rPr>
              <w:t>18,257</w:t>
            </w:r>
          </w:p>
        </w:tc>
      </w:tr>
      <w:tr>
        <w:tc>
          <w:tcPr>
            <w:tcW w:type="dxa" w:w="1511"/>
            <w:vAlign w:val="center"/>
          </w:tcPr>
          <w:p>
            <w:pPr>
              <w:spacing w:after="60" w:before="60"/>
            </w:pPr>
            <w:r>
              <w:rPr>
                <w:sz w:val="20"/>
              </w:rPr>
              <w:t>High Consumption</w:t>
            </w:r>
          </w:p>
        </w:tc>
        <w:tc>
          <w:tcPr>
            <w:tcW w:type="dxa" w:w="1511"/>
            <w:vAlign w:val="center"/>
          </w:tcPr>
          <w:p>
            <w:pPr>
              <w:spacing w:after="60" w:before="60"/>
            </w:pPr>
            <w:r>
              <w:rPr>
                <w:sz w:val="20"/>
              </w:rPr>
              <w:t>151 – inf</w:t>
            </w:r>
          </w:p>
        </w:tc>
        <w:tc>
          <w:tcPr>
            <w:tcW w:type="dxa" w:w="1511"/>
            <w:vAlign w:val="center"/>
          </w:tcPr>
          <w:p>
            <w:pPr>
              <w:spacing w:after="60" w:before="60"/>
            </w:pPr>
            <w:r>
              <w:rPr>
                <w:sz w:val="20"/>
              </w:rPr>
              <w:t>756.20</w:t>
            </w:r>
          </w:p>
        </w:tc>
        <w:tc>
          <w:tcPr>
            <w:tcW w:type="dxa" w:w="1511"/>
            <w:vAlign w:val="center"/>
          </w:tcPr>
          <w:p>
            <w:pPr>
              <w:spacing w:after="60" w:before="60"/>
            </w:pPr>
            <w:r>
              <w:rPr>
                <w:sz w:val="20"/>
              </w:rPr>
              <w:t>24.14</w:t>
            </w:r>
          </w:p>
        </w:tc>
        <w:tc>
          <w:tcPr>
            <w:tcW w:type="dxa" w:w="1511"/>
            <w:vAlign w:val="center"/>
          </w:tcPr>
          <w:p>
            <w:pPr>
              <w:spacing w:after="60" w:before="60"/>
            </w:pPr>
            <w:r>
              <w:rPr>
                <w:sz w:val="20"/>
              </w:rPr>
              <w:t>18,257</w:t>
            </w:r>
          </w:p>
        </w:tc>
        <w:tc>
          <w:tcPr>
            <w:tcW w:type="dxa" w:w="1511"/>
            <w:vAlign w:val="center"/>
          </w:tcPr>
          <w:p>
            <w:pPr>
              <w:spacing w:after="60" w:before="60"/>
            </w:pPr>
            <w:r>
              <w:rPr>
                <w:sz w:val="20"/>
              </w:rPr>
              <w:t>0</w:t>
            </w:r>
          </w:p>
        </w:tc>
      </w:tr>
    </w:tbl>
    <w:p/>
    <w:p>
      <w:r>
        <w:rPr>
          <w:sz w:val="22"/>
        </w:rPr>
        <w:t xml:space="preserve">Total units returned:  </w:t>
      </w:r>
      <w:r>
        <w:rPr>
          <w:b/>
          <w:color w:val="1D4ED8"/>
          <w:sz w:val="22"/>
        </w:rPr>
        <w:t>174 kWh   (15 + 65 + 70 + 24 = 174, rounded)</w:t>
      </w:r>
    </w:p>
    <w:p/>
    <w:p>
      <w:pPr>
        <w:spacing w:after="120"/>
      </w:pPr>
      <w:r>
        <w:rPr>
          <w:sz w:val="22"/>
        </w:rPr>
        <w:t>Compare this to the naive flat-rate estimate: 100,000 / 756.2 = 132 kWh. The stepped ERA algorithm gives the borrower 42 extra units (32% more) because it correctly applies the cheaper lifeline and cooking incentive bands first.</w:t>
      </w:r>
    </w:p>
    <w:p>
      <w:pPr>
        <w:spacing w:before="400" w:after="120"/>
      </w:pPr>
      <w:r>
        <w:rPr>
          <w:b/>
          <w:color w:val="0F172A"/>
          <w:sz w:val="32"/>
        </w:rPr>
        <w:t>8.  Fallback Behaviour</w:t>
      </w:r>
    </w:p>
    <w:p>
      <w:pPr>
        <w:spacing w:after="120"/>
      </w:pPr>
      <w:r>
        <w:rPr>
          <w:sz w:val="22"/>
        </w:rPr>
        <w:t>If a LoanApplication has tariff = NULL, both methods fall back to a flat rate of 500 UGX per unit. This prevents crashes but does not reflect real ERA pricing. Admins must always assign a tariff before approving a loan.</w:t>
      </w:r>
    </w:p>
    <w:p>
      <w:pPr>
        <w:spacing w:before="400" w:after="120"/>
      </w:pPr>
      <w:r>
        <w:rPr>
          <w:b/>
          <w:color w:val="0F172A"/>
          <w:sz w:val="32"/>
        </w:rPr>
        <w:t>9.  Managing Tariffs  (Admin Panel)</w:t>
      </w:r>
    </w:p>
    <w:p>
      <w:pPr>
        <w:spacing w:after="120"/>
      </w:pPr>
      <w:r>
        <w:rPr>
          <w:sz w:val="22"/>
        </w:rPr>
        <w:t>Because tariff data lives in the database, ERA quarterly rate changes require no code deployment — only an admin action.</w:t>
      </w:r>
    </w:p>
    <w:p>
      <w:pPr>
        <w:pStyle w:val="ListBullet"/>
        <w:spacing w:after="60"/>
      </w:pPr>
      <w:r>
        <w:rPr>
          <w:sz w:val="22"/>
        </w:rPr>
        <w:t>Admin panel → Tariffs → open CODE10.1.</w:t>
      </w:r>
    </w:p>
    <w:p>
      <w:pPr>
        <w:pStyle w:val="ListBullet"/>
        <w:spacing w:after="60"/>
      </w:pPr>
      <w:r>
        <w:rPr>
          <w:sz w:val="22"/>
        </w:rPr>
        <w:t>Update each block's rate_per_unit to the new ERA quarterly rates.</w:t>
      </w:r>
    </w:p>
    <w:p>
      <w:pPr>
        <w:pStyle w:val="ListBullet"/>
        <w:spacing w:after="60"/>
      </w:pPr>
      <w:r>
        <w:rPr>
          <w:sz w:val="22"/>
        </w:rPr>
        <w:t>Or create a new tariff record (e.g. CODE10.1-Q2-2026) to preserve history.</w:t>
      </w:r>
    </w:p>
    <w:p>
      <w:pPr>
        <w:pStyle w:val="ListBullet"/>
        <w:spacing w:after="60"/>
      </w:pPr>
      <w:r>
        <w:rPr>
          <w:sz w:val="22"/>
        </w:rPr>
        <w:t>Assign the new tariff to future loan applications.</w:t>
      </w:r>
    </w:p>
    <w:p>
      <w:pPr>
        <w:spacing w:before="240" w:after="80"/>
      </w:pPr>
      <w:r>
        <w:rPr>
          <w:b/>
          <w:color w:val="1D4ED8"/>
          <w:sz w:val="26"/>
        </w:rPr>
        <w:t>REST API Endpoints  (Admin)</w:t>
      </w:r>
    </w:p>
    <w:p>
      <w:pPr>
        <w:spacing w:after="80"/>
      </w:pPr>
      <w:r>
        <w:rPr>
          <w:b/>
          <w:color w:val="6B7280"/>
          <w:sz w:val="20"/>
        </w:rPr>
        <w:t xml:space="preserve">File: </w:t>
      </w:r>
      <w:r>
        <w:rPr>
          <w:rFonts w:ascii="Courier New" w:hAnsi="Courier New"/>
          <w:color w:val="1D4ED8"/>
          <w:sz w:val="20"/>
        </w:rPr>
        <w:t>backend/admin/views.py</w:t>
      </w:r>
      <w:r>
        <w:rPr>
          <w:color w:val="6B7280"/>
          <w:sz w:val="20"/>
        </w:rPr>
        <w:t xml:space="preserve">   (lines 249 – 314)</w:t>
      </w:r>
    </w:p>
    <w:p>
      <w:pPr>
        <w:spacing w:after="0" w:before="0"/>
        <w:ind w:left="432"/>
        <w:shd w:val="clear" w:color="auto" w:fill="F1F5F9"/>
      </w:pPr>
      <w:r>
        <w:rPr>
          <w:rFonts w:ascii="Courier New" w:hAnsi="Courier New"/>
          <w:color w:val="16582C"/>
          <w:sz w:val="18"/>
        </w:rPr>
        <w:t>GET    /api/v1/admin/tariffs/        — list all active tariffs with blocks</w:t>
      </w:r>
    </w:p>
    <w:p>
      <w:pPr>
        <w:spacing w:after="0" w:before="0"/>
        <w:ind w:left="432"/>
        <w:shd w:val="clear" w:color="auto" w:fill="F1F5F9"/>
      </w:pPr>
      <w:r>
        <w:rPr>
          <w:rFonts w:ascii="Courier New" w:hAnsi="Courier New"/>
          <w:color w:val="16582C"/>
          <w:sz w:val="18"/>
        </w:rPr>
        <w:t>POST   /api/v1/admin/tariffs/        — create a new tariff</w:t>
      </w:r>
    </w:p>
    <w:p>
      <w:pPr>
        <w:spacing w:after="0" w:before="0"/>
        <w:ind w:left="432"/>
        <w:shd w:val="clear" w:color="auto" w:fill="F1F5F9"/>
      </w:pPr>
      <w:r>
        <w:rPr>
          <w:rFonts w:ascii="Courier New" w:hAnsi="Courier New"/>
          <w:color w:val="16582C"/>
          <w:sz w:val="18"/>
        </w:rPr>
        <w:t>PUT    /api/v1/admin/tariffs/{pk}/   — update tariff and blocks</w:t>
      </w:r>
    </w:p>
    <w:p>
      <w:pPr>
        <w:spacing w:after="0" w:before="0"/>
        <w:ind w:left="432"/>
        <w:shd w:val="clear" w:color="auto" w:fill="F1F5F9"/>
      </w:pPr>
      <w:r>
        <w:rPr>
          <w:rFonts w:ascii="Courier New" w:hAnsi="Courier New"/>
          <w:color w:val="16582C"/>
          <w:sz w:val="18"/>
        </w:rPr>
        <w:t>DELETE /api/v1/admin/tariffs/{pk}/   — delete a tariff</w:t>
      </w:r>
    </w:p>
    <w:p>
      <w:pPr>
        <w:spacing w:after="80"/>
      </w:pPr>
    </w:p>
    <w:p>
      <w:pPr>
        <w:spacing w:before="400" w:after="120"/>
      </w:pPr>
      <w:r>
        <w:rPr>
          <w:b/>
          <w:color w:val="0F172A"/>
          <w:sz w:val="32"/>
        </w:rPr>
        <w:t>10.  Known Gaps Compared to Full ERA Billing</w:t>
      </w:r>
    </w:p>
    <w:p>
      <w:pPr>
        <w:spacing w:after="120"/>
      </w:pPr>
      <w:r>
        <w:rPr>
          <w:sz w:val="22"/>
        </w:rPr>
        <w:t>The current implementation covers the core per-unit stepped tariff correctly. The following ERA billing components are not yet modelled:</w:t>
      </w:r>
    </w:p>
    <w:tbl>
      <w:tblPr>
        <w:tblStyle w:val="TableGrid"/>
        <w:tblW w:type="auto" w:w="0"/>
        <w:jc w:val="left"/>
        <w:tblLook w:firstColumn="1" w:firstRow="1" w:lastColumn="0" w:lastRow="0" w:noHBand="0" w:noVBand="1" w:val="04A0"/>
      </w:tblPr>
      <w:tblGrid>
        <w:gridCol w:w="3022"/>
        <w:gridCol w:w="3022"/>
        <w:gridCol w:w="3022"/>
      </w:tblGrid>
      <w:tr>
        <w:tc>
          <w:tcPr>
            <w:tcW w:type="dxa" w:w="3022"/>
          </w:tcPr>
          <w:p/>
        </w:tc>
        <w:tc>
          <w:tcPr>
            <w:tcW w:type="dxa" w:w="3022"/>
          </w:tcPr>
          <w:p/>
        </w:tc>
        <w:tc>
          <w:tcPr>
            <w:tcW w:type="dxa" w:w="3022"/>
          </w:tcPr>
          <w:p/>
        </w:tc>
      </w:tr>
      <w:tr>
        <w:tc>
          <w:tcPr>
            <w:tcW w:type="dxa" w:w="3022"/>
            <w:vAlign w:val="center"/>
            <w:shd w:val="clear" w:color="auto" w:fill="0F172A"/>
          </w:tcPr>
          <w:p>
            <w:pPr>
              <w:spacing w:after="60" w:before="60"/>
            </w:pPr>
            <w:r>
              <w:rPr>
                <w:b/>
                <w:color w:val="FFFFFF"/>
                <w:sz w:val="20"/>
              </w:rPr>
              <w:t>ERA Component</w:t>
            </w:r>
          </w:p>
        </w:tc>
        <w:tc>
          <w:tcPr>
            <w:tcW w:type="dxa" w:w="3022"/>
            <w:vAlign w:val="center"/>
            <w:shd w:val="clear" w:color="auto" w:fill="0F172A"/>
          </w:tcPr>
          <w:p>
            <w:pPr>
              <w:spacing w:after="60" w:before="60"/>
            </w:pPr>
            <w:r>
              <w:rPr>
                <w:b/>
                <w:color w:val="FFFFFF"/>
                <w:sz w:val="20"/>
              </w:rPr>
              <w:t>ERA Value</w:t>
            </w:r>
          </w:p>
        </w:tc>
        <w:tc>
          <w:tcPr>
            <w:tcW w:type="dxa" w:w="3022"/>
            <w:vAlign w:val="center"/>
            <w:shd w:val="clear" w:color="auto" w:fill="0F172A"/>
          </w:tcPr>
          <w:p>
            <w:pPr>
              <w:spacing w:after="60" w:before="60"/>
            </w:pPr>
            <w:r>
              <w:rPr>
                <w:b/>
                <w:color w:val="FFFFFF"/>
                <w:sz w:val="20"/>
              </w:rPr>
              <w:t>System Status</w:t>
            </w:r>
          </w:p>
        </w:tc>
      </w:tr>
      <w:tr>
        <w:tc>
          <w:tcPr>
            <w:tcW w:type="dxa" w:w="3022"/>
            <w:vAlign w:val="center"/>
          </w:tcPr>
          <w:p>
            <w:pPr>
              <w:spacing w:after="60" w:before="60"/>
            </w:pPr>
            <w:r>
              <w:rPr>
                <w:sz w:val="20"/>
              </w:rPr>
              <w:t>Monthly service charge</w:t>
            </w:r>
          </w:p>
        </w:tc>
        <w:tc>
          <w:tcPr>
            <w:tcW w:type="dxa" w:w="3022"/>
            <w:vAlign w:val="center"/>
          </w:tcPr>
          <w:p>
            <w:pPr>
              <w:spacing w:after="60" w:before="60"/>
            </w:pPr>
            <w:r>
              <w:rPr>
                <w:sz w:val="20"/>
              </w:rPr>
              <w:t>UGX 3,360 per billing cycle</w:t>
            </w:r>
          </w:p>
        </w:tc>
        <w:tc>
          <w:tcPr>
            <w:tcW w:type="dxa" w:w="3022"/>
            <w:vAlign w:val="center"/>
          </w:tcPr>
          <w:p>
            <w:pPr>
              <w:spacing w:after="60" w:before="60"/>
            </w:pPr>
            <w:r>
              <w:rPr>
                <w:sz w:val="20"/>
              </w:rPr>
              <w:t>service_charge field exists but seeded as 0</w:t>
            </w:r>
          </w:p>
        </w:tc>
      </w:tr>
      <w:tr>
        <w:tc>
          <w:tcPr>
            <w:tcW w:type="dxa" w:w="3022"/>
            <w:vAlign w:val="center"/>
          </w:tcPr>
          <w:p>
            <w:pPr>
              <w:spacing w:after="60" w:before="60"/>
            </w:pPr>
            <w:r>
              <w:rPr>
                <w:sz w:val="20"/>
              </w:rPr>
              <w:t>VAT</w:t>
            </w:r>
          </w:p>
        </w:tc>
        <w:tc>
          <w:tcPr>
            <w:tcW w:type="dxa" w:w="3022"/>
            <w:vAlign w:val="center"/>
          </w:tcPr>
          <w:p>
            <w:pPr>
              <w:spacing w:after="60" w:before="60"/>
            </w:pPr>
            <w:r>
              <w:rPr>
                <w:sz w:val="20"/>
              </w:rPr>
              <w:t>18% on every transaction</w:t>
            </w:r>
          </w:p>
        </w:tc>
        <w:tc>
          <w:tcPr>
            <w:tcW w:type="dxa" w:w="3022"/>
            <w:vAlign w:val="center"/>
          </w:tcPr>
          <w:p>
            <w:pPr>
              <w:spacing w:after="60" w:before="60"/>
            </w:pPr>
            <w:r>
              <w:rPr>
                <w:sz w:val="20"/>
              </w:rPr>
              <w:t>Not applied — tokens are pre-levy values</w:t>
            </w:r>
          </w:p>
        </w:tc>
      </w:tr>
      <w:tr>
        <w:tc>
          <w:tcPr>
            <w:tcW w:type="dxa" w:w="3022"/>
            <w:vAlign w:val="center"/>
          </w:tcPr>
          <w:p>
            <w:pPr>
              <w:spacing w:after="60" w:before="60"/>
            </w:pPr>
            <w:r>
              <w:rPr>
                <w:sz w:val="20"/>
              </w:rPr>
              <w:t>REA levy</w:t>
            </w:r>
          </w:p>
        </w:tc>
        <w:tc>
          <w:tcPr>
            <w:tcW w:type="dxa" w:w="3022"/>
            <w:vAlign w:val="center"/>
          </w:tcPr>
          <w:p>
            <w:pPr>
              <w:spacing w:after="60" w:before="60"/>
            </w:pPr>
            <w:r>
              <w:rPr>
                <w:sz w:val="20"/>
              </w:rPr>
              <w:t>Small % per transaction</w:t>
            </w:r>
          </w:p>
        </w:tc>
        <w:tc>
          <w:tcPr>
            <w:tcW w:type="dxa" w:w="3022"/>
            <w:vAlign w:val="center"/>
          </w:tcPr>
          <w:p>
            <w:pPr>
              <w:spacing w:after="60" w:before="60"/>
            </w:pPr>
            <w:r>
              <w:rPr>
                <w:sz w:val="20"/>
              </w:rPr>
              <w:t>Not modelled</w:t>
            </w:r>
          </w:p>
        </w:tc>
      </w:tr>
      <w:tr>
        <w:tc>
          <w:tcPr>
            <w:tcW w:type="dxa" w:w="3022"/>
            <w:vAlign w:val="center"/>
          </w:tcPr>
          <w:p>
            <w:pPr>
              <w:spacing w:after="60" w:before="60"/>
            </w:pPr>
            <w:r>
              <w:rPr>
                <w:sz w:val="20"/>
              </w:rPr>
              <w:t>Commercial / Industrial</w:t>
            </w:r>
          </w:p>
        </w:tc>
        <w:tc>
          <w:tcPr>
            <w:tcW w:type="dxa" w:w="3022"/>
            <w:vAlign w:val="center"/>
          </w:tcPr>
          <w:p>
            <w:pPr>
              <w:spacing w:after="60" w:before="60"/>
            </w:pPr>
            <w:r>
              <w:rPr>
                <w:sz w:val="20"/>
              </w:rPr>
              <w:t>Flat or time-of-use rates</w:t>
            </w:r>
          </w:p>
        </w:tc>
        <w:tc>
          <w:tcPr>
            <w:tcW w:type="dxa" w:w="3022"/>
            <w:vAlign w:val="center"/>
          </w:tcPr>
          <w:p>
            <w:pPr>
              <w:spacing w:after="60" w:before="60"/>
            </w:pPr>
            <w:r>
              <w:rPr>
                <w:sz w:val="20"/>
              </w:rPr>
              <w:t>tariff_type field supports it; no data seeded</w:t>
            </w:r>
          </w:p>
        </w:tc>
      </w:tr>
    </w:tbl>
    <w:p/>
    <w:p>
      <w:pPr>
        <w:spacing w:before="80" w:after="80"/>
        <w:pBdr>
          <w:bottom w:val="single" w:sz="4" w:space="1" w:color="CBD5E1"/>
        </w:pBdr>
      </w:pPr>
    </w:p>
    <w:p>
      <w:pPr>
        <w:spacing w:before="160"/>
        <w:jc w:val="center"/>
      </w:pPr>
      <w:r>
        <w:rPr>
          <w:color w:val="6B7280"/>
          <w:sz w:val="18"/>
        </w:rPr>
        <w:t>Energy Sharing Project   |   Tariff Calculation Reference   |   ERA Source: era.go.ug  —  Q1 2026 Tariffs   |   Generated 2026-05-19</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