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Đinh Thị Thu 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Chuyên viên, Văn phòng Trường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Cử nhân , Lưu trữ học và quản trị văn phòng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Khoa học Xã hội và Nhân văn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