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Tuấn Dũng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Mạng máy tính</w:t>
            </w:r>
          </w:p>
          <w:p>
            <w:pPr/>
            <w:r>
              <w:rPr>
                <w:i/>
              </w:rPr>
              <w:t>Thạc sỹ , Mạng máy tính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Télécom SudParis</w:t>
            </w:r>
          </w:p>
          <w:p>
            <w:pPr/>
            <w:r>
              <w:rPr>
                <w:i/>
              </w:rPr>
              <w:t>trường Đại học Pierre và Marie Curie – Paris VI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2010</w:t>
            </w:r>
          </w:p>
          <w:p>
            <w:pPr/>
            <w:r>
              <w:rPr>
                <w:i/>
              </w:rPr>
              <w:t>2006</w:t>
            </w:r>
          </w:p>
          <w:p>
            <w:pPr/>
            <w:r>
              <w:rPr>
                <w:i/>
              </w:rPr>
              <w:t>2005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