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Hồng Phong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Tiến sỹ </w:t>
            </w:r>
          </w:p>
          <w:p>
            <w:pPr/>
            <w:r>
              <w:rPr>
                <w:i/>
              </w:rPr>
              <w:t>, 2018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>, 2015</w:t>
            </w:r>
          </w:p>
          <w:p>
            <w:pPr/>
            <w:r>
              <w:rPr>
                <w:i/>
              </w:rPr>
              <w:t>Thạc sỹ Khoa học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Công nghệ Thông tin và Truyền thông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Công nghệ Thông tin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Đại học Bách Khoa Hà Nội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Paris-Sud,</w:t>
            </w:r>
          </w:p>
          <w:p>
            <w:pPr/>
            <w:r>
              <w:rPr>
                <w:i/>
              </w:rPr>
              <w:t>2018</w:t>
            </w:r>
          </w:p>
          <w:p>
            <w:pPr/>
            <w:r>
              <w:rPr>
                <w:i/>
              </w:rPr>
              <w:t>Đại học ENS de Lyon,</w:t>
            </w:r>
          </w:p>
          <w:p>
            <w:pPr/>
            <w:r>
              <w:rPr>
                <w:i/>
              </w:rPr>
              <w:t>2015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