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Override PartName="/word/media/rId25.png" ContentType="image/png"/>
  <Override PartName="/word/media/rId28.mpg4" ContentType="video/mp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by</w:t>
      </w:r>
      <w:r>
        <w:t xml:space="preserve"> </w:t>
      </w:r>
      <w:r>
        <w:t xml:space="preserve">Parts</w:t>
      </w:r>
      <w:r>
        <w:t xml:space="preserve"> </w:t>
      </w:r>
      <w:r>
        <w:t xml:space="preserve">for</w:t>
      </w:r>
      <w:r>
        <w:t xml:space="preserve"> </w:t>
      </w:r>
      <w:r>
        <w:t xml:space="preserve">Archers</w:t>
      </w:r>
    </w:p>
    <w:p>
      <w:pPr>
        <w:pStyle w:val="Author"/>
      </w:pPr>
      <w:r>
        <w:t xml:space="preserve">Kay</w:t>
      </w:r>
      <w:r>
        <w:t xml:space="preserve"> </w:t>
      </w:r>
      <w:r>
        <w:t xml:space="preserve">Kozaronek</w:t>
      </w:r>
    </w:p>
    <w:p>
      <w:pPr>
        <w:pStyle w:val="Date"/>
      </w:pPr>
      <w:r>
        <w:t xml:space="preserve">2023-08-22</w:t>
      </w:r>
    </w:p>
    <w:p>
      <w:pPr>
        <w:pStyle w:val="FirstParagraph"/>
      </w:pPr>
    </w:p>
    <w:bookmarkStart w:id="21" w:name="the-summer-of-math-exposition"/>
    <w:p>
      <w:pPr>
        <w:pStyle w:val="Heading1"/>
      </w:pPr>
      <w:r>
        <w:t xml:space="preserve">The Summer of Math Exposition</w:t>
      </w:r>
    </w:p>
    <w:p>
      <w:pPr>
        <w:pStyle w:val="FirstParagraph"/>
      </w:pPr>
      <w:r>
        <w:t xml:space="preserve">I recently took part in</w:t>
      </w:r>
      <w:r>
        <w:t xml:space="preserve"> </w:t>
      </w:r>
      <w:hyperlink r:id="rId20">
        <w:r>
          <w:rPr>
            <w:rStyle w:val="Hyperlink"/>
          </w:rPr>
          <w:t xml:space="preserve">The Summer of Math Exposition by 3Blue1Brown</w:t>
        </w:r>
      </w:hyperlink>
      <w:r>
        <w:t xml:space="preserve">. It is an annual competition to foster the creation of excellent math content online. Not only did I have to produce my own math explainer, but I also got a chance to grade other people’s work.</w:t>
      </w:r>
    </w:p>
    <w:p>
      <w:pPr>
        <w:pStyle w:val="BodyText"/>
      </w:pPr>
      <w:r>
        <w:t xml:space="preserve">Here’s the approach I used to grade other entries:</w:t>
      </w:r>
    </w:p>
    <w:tbl>
      <w:tblPr>
        <w:tblStyle w:val="Table"/>
        <w:tblW w:type="pct" w:w="5000"/>
        <w:tblLook w:firstRow="1" w:lastRow="0" w:firstColumn="0" w:lastColumn="0" w:noHBand="0" w:noVBand="0" w:val="0020"/>
        <w:jc w:val="start"/>
      </w:tblPr>
      <w:tblGrid>
        <w:gridCol w:w="1061"/>
        <w:gridCol w:w="1061"/>
        <w:gridCol w:w="5797"/>
      </w:tblGrid>
      <w:tr>
        <w:trPr>
          <w:tblHeader w:val="true"/>
        </w:trPr>
        <w:tc>
          <w:tcPr/>
          <w:p>
            <w:pPr>
              <w:pStyle w:val="Compact"/>
              <w:jc w:val="left"/>
            </w:pPr>
            <w:r>
              <w:t xml:space="preserve">Criteria</w:t>
            </w:r>
          </w:p>
        </w:tc>
        <w:tc>
          <w:tcPr/>
          <w:p>
            <w:pPr>
              <w:pStyle w:val="Compact"/>
              <w:jc w:val="left"/>
            </w:pPr>
            <w:r>
              <w:t xml:space="preserve">Score Range</w:t>
            </w:r>
          </w:p>
        </w:tc>
        <w:tc>
          <w:tcPr/>
          <w:p>
            <w:pPr>
              <w:pStyle w:val="Compact"/>
              <w:jc w:val="left"/>
            </w:pPr>
            <w:r>
              <w:t xml:space="preserve">Description</w:t>
            </w:r>
          </w:p>
        </w:tc>
      </w:tr>
      <w:tr>
        <w:tc>
          <w:tcPr/>
          <w:p>
            <w:pPr>
              <w:pStyle w:val="Compact"/>
              <w:jc w:val="left"/>
            </w:pPr>
            <w:r>
              <w:t xml:space="preserve">Motivation</w:t>
            </w:r>
          </w:p>
        </w:tc>
        <w:tc>
          <w:tcPr/>
          <w:p>
            <w:pPr>
              <w:pStyle w:val="Compact"/>
              <w:jc w:val="left"/>
            </w:pPr>
            <w:r>
              <w:t xml:space="preserve">0/10</w:t>
            </w:r>
          </w:p>
        </w:tc>
        <w:tc>
          <w:tcPr/>
          <w:p>
            <w:pPr>
              <w:pStyle w:val="Compact"/>
              <w:jc w:val="left"/>
            </w:pPr>
            <w:r>
              <w:t xml:space="preserve">Why should anyone care about this topic?</w:t>
            </w:r>
          </w:p>
        </w:tc>
      </w:tr>
      <w:tr>
        <w:tc>
          <w:tcPr/>
          <w:p>
            <w:pPr>
              <w:pStyle w:val="Compact"/>
              <w:jc w:val="left"/>
            </w:pPr>
            <w:r>
              <w:t xml:space="preserve">Explanation</w:t>
            </w:r>
          </w:p>
        </w:tc>
        <w:tc>
          <w:tcPr/>
          <w:p>
            <w:pPr>
              <w:pStyle w:val="Compact"/>
              <w:jc w:val="left"/>
            </w:pPr>
            <w:r>
              <w:t xml:space="preserve">0/10</w:t>
            </w:r>
          </w:p>
        </w:tc>
        <w:tc>
          <w:tcPr/>
          <w:p>
            <w:pPr>
              <w:pStyle w:val="Compact"/>
              <w:jc w:val="left"/>
            </w:pPr>
            <w:r>
              <w:t xml:space="preserve">How well was the tale told? How transparent was the reasoning?</w:t>
            </w:r>
          </w:p>
        </w:tc>
      </w:tr>
      <w:tr>
        <w:tc>
          <w:tcPr/>
          <w:p>
            <w:pPr>
              <w:pStyle w:val="Compact"/>
              <w:jc w:val="left"/>
            </w:pPr>
            <w:r>
              <w:t xml:space="preserve">Originality</w:t>
            </w:r>
          </w:p>
        </w:tc>
        <w:tc>
          <w:tcPr/>
          <w:p>
            <w:pPr>
              <w:pStyle w:val="Compact"/>
              <w:jc w:val="left"/>
            </w:pPr>
            <w:r>
              <w:t xml:space="preserve">0/10</w:t>
            </w:r>
          </w:p>
        </w:tc>
        <w:tc>
          <w:tcPr/>
          <w:p>
            <w:pPr>
              <w:pStyle w:val="Compact"/>
              <w:jc w:val="left"/>
            </w:pPr>
            <w:r>
              <w:t xml:space="preserve">Was the story a fresh breath of mathematical air?</w:t>
            </w:r>
          </w:p>
        </w:tc>
      </w:tr>
      <w:tr>
        <w:tc>
          <w:tcPr/>
          <w:p>
            <w:pPr>
              <w:pStyle w:val="Compact"/>
              <w:jc w:val="left"/>
            </w:pPr>
            <w:r>
              <w:t xml:space="preserve">Length</w:t>
            </w:r>
          </w:p>
        </w:tc>
        <w:tc>
          <w:tcPr/>
          <w:p>
            <w:pPr>
              <w:pStyle w:val="Compact"/>
              <w:jc w:val="left"/>
            </w:pPr>
            <w:r>
              <w:t xml:space="preserve">0/5</w:t>
            </w:r>
          </w:p>
        </w:tc>
        <w:tc>
          <w:tcPr/>
          <w:p>
            <w:pPr>
              <w:pStyle w:val="Compact"/>
              <w:jc w:val="left"/>
            </w:pPr>
            <w:r>
              <w:t xml:space="preserve">Was the duration of the story appropriate? Was it engaging all the way?</w:t>
            </w:r>
          </w:p>
        </w:tc>
      </w:tr>
      <w:tr>
        <w:tc>
          <w:tcPr/>
          <w:p>
            <w:pPr>
              <w:pStyle w:val="Compact"/>
              <w:jc w:val="left"/>
            </w:pPr>
            <w:r>
              <w:t xml:space="preserve">Overall</w:t>
            </w:r>
          </w:p>
        </w:tc>
        <w:tc>
          <w:tcPr/>
          <w:p>
            <w:pPr>
              <w:pStyle w:val="Compact"/>
              <w:jc w:val="left"/>
            </w:pPr>
            <w:r>
              <w:t xml:space="preserve">0/35</w:t>
            </w:r>
          </w:p>
        </w:tc>
        <w:tc>
          <w:tcPr/>
          <w:p>
            <w:pPr>
              <w:pStyle w:val="Compact"/>
              <w:jc w:val="left"/>
            </w:pPr>
            <w:r>
              <w:t xml:space="preserve">The grand total.</w:t>
            </w:r>
          </w:p>
        </w:tc>
      </w:tr>
    </w:tbl>
    <w:p>
      <w:pPr>
        <w:pStyle w:val="BodyText"/>
      </w:pPr>
      <w:r>
        <w:t xml:space="preserve">My overall favorite was a video about integration by parts. Don’t worry if your calculus is a little rusty. Here’s a refresher of the standard method.</w:t>
      </w:r>
    </w:p>
    <w:bookmarkEnd w:id="21"/>
    <w:bookmarkStart w:id="31" w:name="Xdec8ece9c0b1bdf82bfa0ca365caa36a178ac6e"/>
    <w:p>
      <w:pPr>
        <w:pStyle w:val="Heading1"/>
      </w:pPr>
      <w:r>
        <w:t xml:space="preserve">Integration by Parts for Calculus Students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Don’t look at the Math Alert, it might bore you.</w:t>
            </w:r>
          </w:p>
        </w:tc>
      </w:tr>
      <w:tr>
        <w:trPr>
          <w:cantSplit/>
        </w:trPr>
        <w:tc>
          <w:tcPr>
            <w:tcMar>
              <w:top w:w="108" w:type="dxa"/>
              <w:bottom w:w="108" w:type="dxa"/>
            </w:tcMar>
          </w:tcPr>
          <w:p>
            <w:pPr>
              <w:pStyle w:val="BodyText"/>
            </w:pPr>
            <w:pPr>
              <w:spacing w:before="16" w:after="16"/>
            </w:pPr>
            <w:r>
              <w:t xml:space="preserve">In case you’re tired of regular Integration by Parts skip to the next section on</w:t>
            </w:r>
            <w:r>
              <w:t xml:space="preserve"> </w:t>
            </w:r>
            <w:r>
              <w:rPr>
                <w:bCs/>
                <w:b/>
              </w:rPr>
              <w:t xml:space="preserve">Integration by Parts for Archers</w:t>
            </w:r>
          </w:p>
        </w:tc>
      </w:tr>
    </w:tbl>
    <w:p>
      <w:pPr>
        <w:pStyle w:val="BodyText"/>
      </w:pPr>
      <w:r>
        <w:t xml:space="preserve">Let’s suppose you’re staring at the following integral</w:t>
      </w:r>
      <w:r>
        <w:t xml:space="preserve"> </w:t>
      </w:r>
      <m:oMath>
        <m:r>
          <m:rPr>
            <m:sty m:val="p"/>
          </m:rPr>
          <m:t>∫</m:t>
        </m:r>
        <m:r>
          <m:t>x</m:t>
        </m:r>
        <m:r>
          <m:rPr>
            <m:sty m:val="p"/>
          </m:rPr>
          <m:t>cos</m:t>
        </m:r>
        <m:d>
          <m:dPr>
            <m:begChr m:val="("/>
            <m:endChr m:val=")"/>
            <m:sepChr m:val=""/>
            <m:grow/>
          </m:dPr>
          <m:e>
            <m:r>
              <m:t>x</m:t>
            </m:r>
          </m:e>
        </m:d>
        <m:r>
          <m:t> </m:t>
        </m:r>
        <m:r>
          <m:t>d</m:t>
        </m:r>
        <m:r>
          <m:t>x</m:t>
        </m:r>
      </m:oMath>
      <w:r>
        <w:t xml:space="preserve">.</w:t>
      </w:r>
      <w:r>
        <w:t xml:space="preserve"> </w:t>
      </w:r>
      <w:r>
        <w:t xml:space="preserve">How would you solve this?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Math Alert - I warned you.</w:t>
            </w:r>
          </w:p>
        </w:tc>
      </w:tr>
      <w:tr>
        <w:trPr>
          <w:cantSplit/>
        </w:trPr>
        <w:tc>
          <w:tcPr>
            <w:tcMar>
              <w:top w:w="108" w:type="dxa"/>
              <w:bottom w:w="108" w:type="dxa"/>
            </w:tcMar>
          </w:tcPr>
          <w:p>
            <w:pPr>
              <w:pStyle w:val="BodyText"/>
            </w:pPr>
            <w:pPr>
              <w:spacing w:before="16"/>
            </w:pPr>
            <w:r>
              <w:t xml:space="preserve">To solve this, we can use integration by parts. The formula for integration by parts is:</w:t>
            </w:r>
          </w:p>
          <w:p>
            <w:pPr>
              <w:pStyle w:val="BodyText"/>
            </w:pPr>
            <m:oMathPara>
              <m:oMathParaPr>
                <m:jc m:val="center"/>
              </m:oMathParaPr>
              <m:oMath>
                <m:r>
                  <m:rPr>
                    <m:sty m:val="p"/>
                  </m:rPr>
                  <m:t>∫</m:t>
                </m:r>
                <m:r>
                  <m:t>u</m:t>
                </m:r>
                <m:r>
                  <m:t> </m:t>
                </m:r>
                <m:r>
                  <m:t>d</m:t>
                </m:r>
                <m:r>
                  <m:t>v</m:t>
                </m:r>
                <m:r>
                  <m:rPr>
                    <m:sty m:val="p"/>
                  </m:rPr>
                  <m:t>=</m:t>
                </m:r>
                <m:r>
                  <m:t>u</m:t>
                </m:r>
                <m:r>
                  <m:t>v</m:t>
                </m:r>
                <m:r>
                  <m:rPr>
                    <m:sty m:val="p"/>
                  </m:rPr>
                  <m:t>−</m:t>
                </m:r>
                <m:r>
                  <m:rPr>
                    <m:sty m:val="p"/>
                  </m:rPr>
                  <m:t>∫</m:t>
                </m:r>
                <m:r>
                  <m:t>v</m:t>
                </m:r>
                <m:r>
                  <m:t> </m:t>
                </m:r>
                <m:r>
                  <m:t>d</m:t>
                </m:r>
                <m:r>
                  <m:t>u</m:t>
                </m:r>
              </m:oMath>
            </m:oMathPara>
          </w:p>
          <w:p>
            <w:pPr>
              <w:pStyle w:val="FirstParagraph"/>
            </w:pPr>
            <w:r>
              <w:t xml:space="preserve">Where:</w:t>
            </w:r>
          </w:p>
          <w:p>
            <w:pPr>
              <w:numPr>
                <w:ilvl w:val="0"/>
                <w:numId w:val="1001"/>
              </w:numPr>
              <w:pStyle w:val="Compact"/>
            </w:pPr>
            <m:oMath>
              <m:r>
                <m:t>u</m:t>
              </m:r>
            </m:oMath>
            <w:r>
              <w:t xml:space="preserve"> </w:t>
            </w:r>
            <w:r>
              <w:t xml:space="preserve">is the function we choose to differentiate</w:t>
            </w:r>
          </w:p>
          <w:p>
            <w:pPr>
              <w:numPr>
                <w:ilvl w:val="0"/>
                <w:numId w:val="1001"/>
              </w:numPr>
              <w:pStyle w:val="Compact"/>
            </w:pPr>
            <m:oMath>
              <m:r>
                <m:t>d</m:t>
              </m:r>
              <m:r>
                <m:t>v</m:t>
              </m:r>
            </m:oMath>
            <w:r>
              <w:t xml:space="preserve"> </w:t>
            </w:r>
            <w:r>
              <w:t xml:space="preserve">is the function we choose to integrate</w:t>
            </w:r>
          </w:p>
          <w:p>
            <w:pPr>
              <w:pStyle w:val="FirstParagraph"/>
            </w:pPr>
            <w:r>
              <w:t xml:space="preserve">Our goal is to choose</w:t>
            </w:r>
            <w:r>
              <w:t xml:space="preserve"> </w:t>
            </w:r>
            <m:oMath>
              <m:r>
                <m:t>u</m:t>
              </m:r>
            </m:oMath>
            <w:r>
              <w:t xml:space="preserve"> </w:t>
            </w:r>
            <w:r>
              <w:t xml:space="preserve">and</w:t>
            </w:r>
            <w:r>
              <w:t xml:space="preserve"> </w:t>
            </w:r>
            <m:oMath>
              <m:r>
                <m:t>d</m:t>
              </m:r>
              <m:r>
                <m:t>v</m:t>
              </m:r>
            </m:oMath>
            <w:r>
              <w:t xml:space="preserve"> </w:t>
            </w:r>
            <w:r>
              <w:t xml:space="preserve">such that their derivatives</w:t>
            </w:r>
            <w:r>
              <w:t xml:space="preserve"> </w:t>
            </w:r>
            <m:oMath>
              <m:r>
                <m:t>d</m:t>
              </m:r>
              <m:r>
                <m:t>u</m:t>
              </m:r>
            </m:oMath>
            <w:r>
              <w:t xml:space="preserve"> </w:t>
            </w:r>
            <w:r>
              <w:t xml:space="preserve">and integrals</w:t>
            </w:r>
            <w:r>
              <w:t xml:space="preserve"> </w:t>
            </w:r>
            <m:oMath>
              <m:r>
                <m:t>v</m:t>
              </m:r>
            </m:oMath>
            <w:r>
              <w:t xml:space="preserve">, respectively, simplify the problem.</w:t>
            </w:r>
          </w:p>
          <w:p>
            <w:pPr>
              <w:pStyle w:val="BodyText"/>
            </w:pPr>
            <w:r>
              <w:t xml:space="preserve">Let’s choose:</w:t>
            </w:r>
          </w:p>
          <w:p>
            <w:pPr>
              <w:pStyle w:val="BodyText"/>
            </w:pPr>
            <m:oMathPara>
              <m:oMathParaPr>
                <m:jc m:val="center"/>
              </m:oMathParaPr>
              <m:oMath>
                <m:r>
                  <m:t>u</m:t>
                </m:r>
                <m:r>
                  <m:rPr>
                    <m:sty m:val="p"/>
                  </m:rPr>
                  <m:t>=</m:t>
                </m:r>
                <m:r>
                  <m:t>x</m:t>
                </m:r>
                <m:r>
                  <m:rPr>
                    <m:sty m:val="p"/>
                  </m:rPr>
                  <m:t>⟹</m:t>
                </m:r>
                <m:r>
                  <m:t>d</m:t>
                </m:r>
                <m:r>
                  <m:t>u</m:t>
                </m:r>
                <m:r>
                  <m:rPr>
                    <m:sty m:val="p"/>
                  </m:rPr>
                  <m:t>=</m:t>
                </m:r>
                <m:r>
                  <m:t>d</m:t>
                </m:r>
                <m:r>
                  <m:t>x</m:t>
                </m:r>
              </m:oMath>
            </m:oMathPara>
          </w:p>
          <w:p>
            <w:pPr>
              <w:pStyle w:val="FirstParagraph"/>
            </w:pPr>
            <m:oMathPara>
              <m:oMathParaPr>
                <m:jc m:val="center"/>
              </m:oMathParaPr>
              <m:oMath>
                <m:r>
                  <m:t>d</m:t>
                </m:r>
                <m:r>
                  <m:t>v</m:t>
                </m:r>
                <m:r>
                  <m:rPr>
                    <m:sty m:val="p"/>
                  </m:rPr>
                  <m:t>=</m:t>
                </m:r>
                <m:r>
                  <m:rPr>
                    <m:sty m:val="p"/>
                  </m:rPr>
                  <m:t>cos</m:t>
                </m:r>
                <m:d>
                  <m:dPr>
                    <m:begChr m:val="("/>
                    <m:endChr m:val=")"/>
                    <m:sepChr m:val=""/>
                    <m:grow/>
                  </m:dPr>
                  <m:e>
                    <m:r>
                      <m:t>x</m:t>
                    </m:r>
                  </m:e>
                </m:d>
                <m:r>
                  <m:t> </m:t>
                </m:r>
                <m:r>
                  <m:t>d</m:t>
                </m:r>
                <m:r>
                  <m:t>x</m:t>
                </m:r>
                <m:r>
                  <m:rPr>
                    <m:sty m:val="p"/>
                  </m:rPr>
                  <m:t>⟹</m:t>
                </m:r>
                <m:r>
                  <m:t>v</m:t>
                </m:r>
                <m:r>
                  <m:rPr>
                    <m:sty m:val="p"/>
                  </m:rPr>
                  <m:t>=</m:t>
                </m:r>
                <m:r>
                  <m:rPr>
                    <m:sty m:val="p"/>
                  </m:rPr>
                  <m:t>∫</m:t>
                </m:r>
                <m:r>
                  <m:rPr>
                    <m:sty m:val="p"/>
                  </m:rPr>
                  <m:t>cos</m:t>
                </m:r>
                <m:d>
                  <m:dPr>
                    <m:begChr m:val="("/>
                    <m:endChr m:val=")"/>
                    <m:sepChr m:val=""/>
                    <m:grow/>
                  </m:dPr>
                  <m:e>
                    <m:r>
                      <m:t>x</m:t>
                    </m:r>
                  </m:e>
                </m:d>
                <m:r>
                  <m:t> </m:t>
                </m:r>
                <m:r>
                  <m:t>d</m:t>
                </m:r>
                <m:r>
                  <m:t>x</m:t>
                </m:r>
              </m:oMath>
            </m:oMathPara>
          </w:p>
          <w:p>
            <w:pPr>
              <w:pStyle w:val="FirstParagraph"/>
            </w:pPr>
            <w:r>
              <w:t xml:space="preserve">Now, we’ll determine</w:t>
            </w:r>
            <w:r>
              <w:t xml:space="preserve"> </w:t>
            </w:r>
            <m:oMath>
              <m:r>
                <m:t>d</m:t>
              </m:r>
              <m:r>
                <m:t>u</m:t>
              </m:r>
            </m:oMath>
            <w:r>
              <w:t xml:space="preserve"> </w:t>
            </w:r>
            <w:r>
              <w:t xml:space="preserve">and</w:t>
            </w:r>
            <w:r>
              <w:t xml:space="preserve"> </w:t>
            </w:r>
            <m:oMath>
              <m:r>
                <m:t>v</m:t>
              </m:r>
            </m:oMath>
            <w:r>
              <w:t xml:space="preserve">:</w:t>
            </w:r>
          </w:p>
          <w:p>
            <w:pPr>
              <w:pStyle w:val="BodyText"/>
            </w:pPr>
            <m:oMathPara>
              <m:oMathParaPr>
                <m:jc m:val="center"/>
              </m:oMathParaPr>
              <m:oMath>
                <m:r>
                  <m:t>d</m:t>
                </m:r>
                <m:r>
                  <m:t>u</m:t>
                </m:r>
                <m:r>
                  <m:rPr>
                    <m:sty m:val="p"/>
                  </m:rPr>
                  <m:t>=</m:t>
                </m:r>
                <m:r>
                  <m:t>d</m:t>
                </m:r>
                <m:r>
                  <m:t>x</m:t>
                </m:r>
              </m:oMath>
            </m:oMathPara>
          </w:p>
          <w:p>
            <w:pPr>
              <w:pStyle w:val="FirstParagraph"/>
            </w:pPr>
            <m:oMathPara>
              <m:oMathParaPr>
                <m:jc m:val="center"/>
              </m:oMathParaPr>
              <m:oMath>
                <m:r>
                  <m:t>v</m:t>
                </m:r>
                <m:r>
                  <m:rPr>
                    <m:sty m:val="p"/>
                  </m:rPr>
                  <m:t>=</m:t>
                </m:r>
                <m:r>
                  <m:rPr>
                    <m:sty m:val="p"/>
                  </m:rPr>
                  <m:t>∫</m:t>
                </m:r>
                <m:r>
                  <m:rPr>
                    <m:sty m:val="p"/>
                  </m:rPr>
                  <m:t>cos</m:t>
                </m:r>
                <m:d>
                  <m:dPr>
                    <m:begChr m:val="("/>
                    <m:endChr m:val=")"/>
                    <m:sepChr m:val=""/>
                    <m:grow/>
                  </m:dPr>
                  <m:e>
                    <m:r>
                      <m:t>x</m:t>
                    </m:r>
                  </m:e>
                </m:d>
                <m:r>
                  <m:t> </m:t>
                </m:r>
                <m:r>
                  <m:t>d</m:t>
                </m:r>
                <m:r>
                  <m:t>x</m:t>
                </m:r>
                <m:r>
                  <m:rPr>
                    <m:sty m:val="p"/>
                  </m:rPr>
                  <m:t>=</m:t>
                </m:r>
                <m:r>
                  <m:rPr>
                    <m:sty m:val="p"/>
                  </m:rPr>
                  <m:t>sin</m:t>
                </m:r>
                <m:d>
                  <m:dPr>
                    <m:begChr m:val="("/>
                    <m:endChr m:val=")"/>
                    <m:sepChr m:val=""/>
                    <m:grow/>
                  </m:dPr>
                  <m:e>
                    <m:r>
                      <m:t>x</m:t>
                    </m:r>
                  </m:e>
                </m:d>
              </m:oMath>
            </m:oMathPara>
          </w:p>
          <w:p>
            <w:pPr>
              <w:pStyle w:val="FirstParagraph"/>
            </w:pPr>
            <w:r>
              <w:t xml:space="preserve">Now, plug these values into the integration by parts formula:</w:t>
            </w:r>
          </w:p>
          <w:p>
            <w:pPr>
              <w:pStyle w:val="BodyText"/>
            </w:pPr>
            <m:oMathPara>
              <m:oMathParaPr>
                <m:jc m:val="center"/>
              </m:oMathParaPr>
              <m:oMath>
                <m:r>
                  <m:rPr>
                    <m:sty m:val="p"/>
                  </m:rPr>
                  <m:t>∫</m:t>
                </m:r>
                <m:r>
                  <m:t>x</m:t>
                </m:r>
                <m:r>
                  <m:rPr>
                    <m:sty m:val="p"/>
                  </m:rPr>
                  <m:t>cos</m:t>
                </m:r>
                <m:d>
                  <m:dPr>
                    <m:begChr m:val="("/>
                    <m:endChr m:val=")"/>
                    <m:sepChr m:val=""/>
                    <m:grow/>
                  </m:dPr>
                  <m:e>
                    <m:r>
                      <m:t>x</m:t>
                    </m:r>
                  </m:e>
                </m:d>
                <m:r>
                  <m:t> </m:t>
                </m:r>
                <m:r>
                  <m:t>d</m:t>
                </m:r>
                <m:r>
                  <m:t>x</m:t>
                </m:r>
                <m:r>
                  <m:rPr>
                    <m:sty m:val="p"/>
                  </m:rPr>
                  <m:t>=</m:t>
                </m:r>
                <m:r>
                  <m:t>x</m:t>
                </m:r>
                <m:r>
                  <m:rPr>
                    <m:sty m:val="p"/>
                  </m:rPr>
                  <m:t>sin</m:t>
                </m:r>
                <m:d>
                  <m:dPr>
                    <m:begChr m:val="("/>
                    <m:endChr m:val=")"/>
                    <m:sepChr m:val=""/>
                    <m:grow/>
                  </m:dPr>
                  <m:e>
                    <m:r>
                      <m:t>x</m:t>
                    </m:r>
                  </m:e>
                </m:d>
                <m:r>
                  <m:rPr>
                    <m:sty m:val="p"/>
                  </m:rPr>
                  <m:t>−</m:t>
                </m:r>
                <m:r>
                  <m:rPr>
                    <m:sty m:val="p"/>
                  </m:rPr>
                  <m:t>∫</m:t>
                </m:r>
                <m:r>
                  <m:rPr>
                    <m:sty m:val="p"/>
                  </m:rPr>
                  <m:t>sin</m:t>
                </m:r>
                <m:d>
                  <m:dPr>
                    <m:begChr m:val="("/>
                    <m:endChr m:val=")"/>
                    <m:sepChr m:val=""/>
                    <m:grow/>
                  </m:dPr>
                  <m:e>
                    <m:r>
                      <m:t>x</m:t>
                    </m:r>
                  </m:e>
                </m:d>
                <m:r>
                  <m:t> </m:t>
                </m:r>
                <m:r>
                  <m:t>d</m:t>
                </m:r>
                <m:r>
                  <m:t>x</m:t>
                </m:r>
              </m:oMath>
            </m:oMathPara>
          </w:p>
          <w:p>
            <w:pPr>
              <w:pStyle w:val="FirstParagraph"/>
            </w:pPr>
            <w:r>
              <w:t xml:space="preserve">To finish solving the integral, we just need to integrate</w:t>
            </w:r>
            <w:r>
              <w:t xml:space="preserve"> </w:t>
            </w:r>
            <m:oMath>
              <m:r>
                <m:rPr>
                  <m:sty m:val="p"/>
                </m:rPr>
                <m:t>sin</m:t>
              </m:r>
              <m:d>
                <m:dPr>
                  <m:begChr m:val="("/>
                  <m:endChr m:val=")"/>
                  <m:sepChr m:val=""/>
                  <m:grow/>
                </m:dPr>
                <m:e>
                  <m:r>
                    <m:t>x</m:t>
                  </m:r>
                </m:e>
              </m:d>
            </m:oMath>
            <w:r>
              <w:t xml:space="preserve">. Let’s do that:</w:t>
            </w:r>
          </w:p>
          <w:p>
            <w:pPr>
              <w:pStyle w:val="BodyText"/>
            </w:pPr>
            <w:r>
              <w:t xml:space="preserve">The integral of</w:t>
            </w:r>
            <w:r>
              <w:t xml:space="preserve"> </w:t>
            </w:r>
            <m:oMath>
              <m:r>
                <m:rPr>
                  <m:sty m:val="p"/>
                </m:rPr>
                <m:t>sin</m:t>
              </m:r>
              <m:d>
                <m:dPr>
                  <m:begChr m:val="("/>
                  <m:endChr m:val=")"/>
                  <m:sepChr m:val=""/>
                  <m:grow/>
                </m:dPr>
                <m:e>
                  <m:r>
                    <m:t>x</m:t>
                  </m:r>
                </m:e>
              </m:d>
            </m:oMath>
            <w:r>
              <w:t xml:space="preserve"> </w:t>
            </w:r>
            <w:r>
              <w:t xml:space="preserve">with respect to</w:t>
            </w:r>
            <w:r>
              <w:t xml:space="preserve"> </w:t>
            </w:r>
            <m:oMath>
              <m:r>
                <m:t>x</m:t>
              </m:r>
            </m:oMath>
            <w:r>
              <w:t xml:space="preserve"> </w:t>
            </w:r>
            <w:r>
              <w:t xml:space="preserve">is</w:t>
            </w:r>
            <w:r>
              <w:t xml:space="preserve"> </w:t>
            </w:r>
            <m:oMath>
              <m:r>
                <m:rPr>
                  <m:sty m:val="p"/>
                </m:rPr>
                <m:t>−</m:t>
              </m:r>
              <m:r>
                <m:rPr>
                  <m:sty m:val="p"/>
                </m:rPr>
                <m:t>cos</m:t>
              </m:r>
              <m:d>
                <m:dPr>
                  <m:begChr m:val="("/>
                  <m:endChr m:val=")"/>
                  <m:sepChr m:val=""/>
                  <m:grow/>
                </m:dPr>
                <m:e>
                  <m:r>
                    <m:t>x</m:t>
                  </m:r>
                </m:e>
              </m:d>
            </m:oMath>
            <w:r>
              <w:t xml:space="preserve">.</w:t>
            </w:r>
          </w:p>
          <w:p>
            <w:pPr>
              <w:pStyle w:val="BodyText"/>
            </w:pPr>
            <w:r>
              <w:t xml:space="preserve">Now, plugging this into our equation, we get:</w:t>
            </w:r>
          </w:p>
          <w:p>
            <w:pPr>
              <w:pStyle w:val="BodyText"/>
            </w:pPr>
            <m:oMathPara>
              <m:oMathParaPr>
                <m:jc m:val="center"/>
              </m:oMathParaPr>
              <m:oMath>
                <m:r>
                  <m:rPr>
                    <m:sty m:val="p"/>
                  </m:rPr>
                  <m:t>∫</m:t>
                </m:r>
                <m:r>
                  <m:t>x</m:t>
                </m:r>
                <m:r>
                  <m:rPr>
                    <m:sty m:val="p"/>
                  </m:rPr>
                  <m:t>cos</m:t>
                </m:r>
                <m:d>
                  <m:dPr>
                    <m:begChr m:val="("/>
                    <m:endChr m:val=")"/>
                    <m:sepChr m:val=""/>
                    <m:grow/>
                  </m:dPr>
                  <m:e>
                    <m:r>
                      <m:t>x</m:t>
                    </m:r>
                  </m:e>
                </m:d>
                <m:r>
                  <m:t> </m:t>
                </m:r>
                <m:r>
                  <m:t>d</m:t>
                </m:r>
                <m:r>
                  <m:t>x</m:t>
                </m:r>
                <m:r>
                  <m:rPr>
                    <m:sty m:val="p"/>
                  </m:rPr>
                  <m:t>=</m:t>
                </m:r>
                <m:r>
                  <m:t>x</m:t>
                </m:r>
                <m:r>
                  <m:rPr>
                    <m:sty m:val="p"/>
                  </m:rPr>
                  <m:t>sin</m:t>
                </m:r>
                <m:d>
                  <m:dPr>
                    <m:begChr m:val="("/>
                    <m:endChr m:val=")"/>
                    <m:sepChr m:val=""/>
                    <m:grow/>
                  </m:dPr>
                  <m:e>
                    <m:r>
                      <m:t>x</m:t>
                    </m:r>
                  </m:e>
                </m:d>
                <m:r>
                  <m:rPr>
                    <m:sty m:val="p"/>
                  </m:rPr>
                  <m:t>+</m:t>
                </m:r>
                <m:r>
                  <m:rPr>
                    <m:sty m:val="p"/>
                  </m:rPr>
                  <m:t>cos</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w:t>
            </w:r>
            <w:r>
              <w:t xml:space="preserve">is the constant of integration.</w:t>
            </w:r>
          </w:p>
          <w:p>
            <w:pPr>
              <w:pStyle w:val="BodyText"/>
            </w:pPr>
            <w:r>
              <w:t xml:space="preserve">So, the integral of</w:t>
            </w:r>
            <w:r>
              <w:t xml:space="preserve"> </w:t>
            </w:r>
            <m:oMath>
              <m:r>
                <m:t>x</m:t>
              </m:r>
              <m:r>
                <m:rPr>
                  <m:sty m:val="p"/>
                </m:rPr>
                <m:t>cos</m:t>
              </m:r>
              <m:d>
                <m:dPr>
                  <m:begChr m:val="("/>
                  <m:endChr m:val=")"/>
                  <m:sepChr m:val=""/>
                  <m:grow/>
                </m:dPr>
                <m:e>
                  <m:r>
                    <m:t>x</m:t>
                  </m:r>
                </m:e>
              </m:d>
            </m:oMath>
            <w:r>
              <w:t xml:space="preserve"> </w:t>
            </w:r>
            <w:r>
              <w:t xml:space="preserve">is:</w:t>
            </w:r>
          </w:p>
          <w:p>
            <w:pPr>
              <w:pStyle w:val="BodyText"/>
            </w:pPr>
            <w:pPr>
              <w:spacing w:after="16"/>
            </w:pPr>
          </w:p>
          <w:p>
            <w:pPr>
              <w:pStyle w:val="BodyText"/>
            </w:pPr>
            <m:oMathPara>
              <m:oMathParaPr>
                <m:jc m:val="center"/>
              </m:oMathParaPr>
              <m:oMath>
                <m:r>
                  <m:t>x</m:t>
                </m:r>
                <m:r>
                  <m:rPr>
                    <m:sty m:val="p"/>
                  </m:rPr>
                  <m:t>sin</m:t>
                </m:r>
                <m:d>
                  <m:dPr>
                    <m:begChr m:val="("/>
                    <m:endChr m:val=")"/>
                    <m:sepChr m:val=""/>
                    <m:grow/>
                  </m:dPr>
                  <m:e>
                    <m:r>
                      <m:t>x</m:t>
                    </m:r>
                  </m:e>
                </m:d>
                <m:r>
                  <m:rPr>
                    <m:sty m:val="p"/>
                  </m:rPr>
                  <m:t>+</m:t>
                </m:r>
                <m:r>
                  <m:rPr>
                    <m:sty m:val="p"/>
                  </m:rPr>
                  <m:t>cos</m:t>
                </m:r>
                <m:d>
                  <m:dPr>
                    <m:begChr m:val="("/>
                    <m:endChr m:val=")"/>
                    <m:sepChr m:val=""/>
                    <m:grow/>
                  </m:dPr>
                  <m:e>
                    <m:r>
                      <m:t>x</m:t>
                    </m:r>
                  </m:e>
                </m:d>
                <m:r>
                  <m:rPr>
                    <m:sty m:val="p"/>
                  </m:rPr>
                  <m:t>+</m:t>
                </m:r>
                <m:r>
                  <m:t>C</m:t>
                </m:r>
              </m:oMath>
            </m:oMathPara>
          </w:p>
        </w:tc>
      </w:tr>
    </w:tbl>
    <w:p>
      <w:pPr>
        <w:pStyle w:val="FirstParagraph"/>
      </w:pPr>
      <w:r>
        <w:t xml:space="preserve">Visually it looks like this:</w:t>
      </w:r>
      <w:r>
        <w:t xml:space="preserve"> </w:t>
      </w:r>
      <w:r>
        <w:drawing>
          <wp:inline>
            <wp:extent cx="3810000" cy="2540000"/>
            <wp:effectExtent b="0" l="0" r="0" t="0"/>
            <wp:docPr descr="" title="" id="29" name="Picture"/>
            <a:graphic>
              <a:graphicData uri="http://schemas.openxmlformats.org/drawingml/2006/picture">
                <pic:pic>
                  <pic:nvPicPr>
                    <pic:cNvPr descr="media/video.mp4"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bookmarkEnd w:id="31"/>
    <w:bookmarkStart w:id="43" w:name="integration-by-parts-for-archers"/>
    <w:p>
      <w:pPr>
        <w:pStyle w:val="Heading1"/>
      </w:pPr>
      <w:r>
        <w:t xml:space="preserve">Integration by Parts for Archers</w:t>
      </w:r>
    </w:p>
    <w:p>
      <w:pPr>
        <w:pStyle w:val="FirstParagraph"/>
      </w:pPr>
      <w:r>
        <w:t xml:space="preserve">Now, wasn’t that tedious? Here’s the new, improved method:</w:t>
      </w:r>
    </w:p>
    <w:p>
      <w:pPr>
        <w:pStyle w:val="BlockText"/>
      </w:pPr>
      <w:r>
        <w:t xml:space="preserve">Arrow Marked Integral = Top Product - Outer Integral.</w:t>
      </w:r>
    </w:p>
    <w:p>
      <w:pPr>
        <w:pStyle w:val="FirstParagraph"/>
      </w:pPr>
      <w:r>
        <w:t xml:space="preserve">What do all of these mean? I’ll let the author of the video explain it to you. Hopefully, you’ll find it as insightful as I did.</w:t>
      </w:r>
    </w:p>
    <w:p>
      <w:pPr>
        <w:pStyle w:val="BodyText"/>
      </w:pPr>
      <w:hyperlink r:id="rId32">
        <w:r>
          <w:rPr>
            <w:rStyle w:val="Hyperlink"/>
          </w:rPr>
          <w:t xml:space="preserve">https://www.youtube.com/watch?v=bHu3CfJ3ttk&amp;ab_channel=BraverNewMath</w:t>
        </w:r>
      </w:hyperlink>
    </w:p>
    <w:p>
      <w:pPr>
        <w:pStyle w:val="BodyText"/>
      </w:pPr>
      <w:r>
        <w:rPr>
          <w:bCs/>
          <w:b/>
        </w:rPr>
        <w:t xml:space="preserve">My rating:</w:t>
      </w:r>
    </w:p>
    <w:tbl>
      <w:tblPr>
        <w:tblStyle w:val="Table"/>
        <w:tblW w:type="pct" w:w="5000"/>
        <w:tblLook w:firstRow="1" w:lastRow="0" w:firstColumn="0" w:lastColumn="0" w:noHBand="0" w:noVBand="0" w:val="0020"/>
        <w:jc w:val="start"/>
      </w:tblPr>
      <w:tblGrid>
        <w:gridCol w:w="550"/>
        <w:gridCol w:w="550"/>
        <w:gridCol w:w="6818"/>
      </w:tblGrid>
      <w:tr>
        <w:trPr>
          <w:tblHeader w:val="true"/>
        </w:trPr>
        <w:tc>
          <w:tcPr/>
          <w:p>
            <w:pPr>
              <w:pStyle w:val="Compact"/>
              <w:jc w:val="left"/>
            </w:pPr>
            <w:r>
              <w:t xml:space="preserve">Criteria</w:t>
            </w:r>
          </w:p>
        </w:tc>
        <w:tc>
          <w:tcPr/>
          <w:p>
            <w:pPr>
              <w:pStyle w:val="Compact"/>
              <w:jc w:val="left"/>
            </w:pPr>
            <w:r>
              <w:t xml:space="preserve">Score</w:t>
            </w:r>
          </w:p>
        </w:tc>
        <w:tc>
          <w:tcPr/>
          <w:p>
            <w:pPr>
              <w:pStyle w:val="Compact"/>
              <w:jc w:val="left"/>
            </w:pPr>
            <w:r>
              <w:t xml:space="preserve">Description</w:t>
            </w:r>
          </w:p>
        </w:tc>
      </w:tr>
      <w:tr>
        <w:tc>
          <w:tcPr/>
          <w:p>
            <w:pPr>
              <w:pStyle w:val="Compact"/>
              <w:jc w:val="left"/>
            </w:pPr>
            <w:r>
              <w:t xml:space="preserve">Motivation</w:t>
            </w:r>
          </w:p>
        </w:tc>
        <w:tc>
          <w:tcPr/>
          <w:p>
            <w:pPr>
              <w:pStyle w:val="Compact"/>
              <w:jc w:val="left"/>
            </w:pPr>
            <w:r>
              <w:t xml:space="preserve">10/10</w:t>
            </w:r>
          </w:p>
        </w:tc>
        <w:tc>
          <w:tcPr/>
          <w:p>
            <w:pPr>
              <w:pStyle w:val="Compact"/>
              <w:jc w:val="left"/>
            </w:pPr>
            <w:r>
              <w:t xml:space="preserve">This video was extremely well-motivated. Thanks for solving the integration by parts pain!</w:t>
            </w:r>
          </w:p>
        </w:tc>
      </w:tr>
      <w:tr>
        <w:tc>
          <w:tcPr/>
          <w:p>
            <w:pPr>
              <w:pStyle w:val="Compact"/>
              <w:jc w:val="left"/>
            </w:pPr>
            <w:r>
              <w:t xml:space="preserve">Explanation</w:t>
            </w:r>
          </w:p>
        </w:tc>
        <w:tc>
          <w:tcPr/>
          <w:p>
            <w:pPr>
              <w:pStyle w:val="Compact"/>
              <w:jc w:val="left"/>
            </w:pPr>
            <w:r>
              <w:t xml:space="preserve">10/10</w:t>
            </w:r>
          </w:p>
        </w:tc>
        <w:tc>
          <w:tcPr/>
          <w:p>
            <w:pPr>
              <w:pStyle w:val="Compact"/>
              <w:jc w:val="left"/>
            </w:pPr>
            <w:r>
              <w:t xml:space="preserve">The explanation was so clear and engaging that I stopped the video at some points and tried the method myself</w:t>
            </w:r>
          </w:p>
        </w:tc>
      </w:tr>
      <w:tr>
        <w:tc>
          <w:tcPr/>
          <w:p>
            <w:pPr>
              <w:pStyle w:val="Compact"/>
              <w:jc w:val="left"/>
            </w:pPr>
            <w:r>
              <w:t xml:space="preserve">Originality</w:t>
            </w:r>
          </w:p>
        </w:tc>
        <w:tc>
          <w:tcPr/>
          <w:p>
            <w:pPr>
              <w:pStyle w:val="Compact"/>
              <w:jc w:val="left"/>
            </w:pPr>
            <w:r>
              <w:t xml:space="preserve">10/10</w:t>
            </w:r>
          </w:p>
        </w:tc>
        <w:tc>
          <w:tcPr/>
          <w:p>
            <w:pPr>
              <w:pStyle w:val="Compact"/>
              <w:jc w:val="left"/>
            </w:pPr>
            <w:r>
              <w:t xml:space="preserve">You literally just developed a new approach to doing integration by parts. This is awesome.</w:t>
            </w:r>
          </w:p>
        </w:tc>
      </w:tr>
      <w:tr>
        <w:tc>
          <w:tcPr/>
          <w:p>
            <w:pPr>
              <w:pStyle w:val="Compact"/>
              <w:jc w:val="left"/>
            </w:pPr>
            <w:r>
              <w:t xml:space="preserve">Length</w:t>
            </w:r>
          </w:p>
        </w:tc>
        <w:tc>
          <w:tcPr/>
          <w:p>
            <w:pPr>
              <w:pStyle w:val="Compact"/>
              <w:jc w:val="left"/>
            </w:pPr>
            <w:r>
              <w:t xml:space="preserve">5/5</w:t>
            </w:r>
          </w:p>
        </w:tc>
        <w:tc>
          <w:tcPr/>
          <w:p>
            <w:pPr>
              <w:pStyle w:val="Compact"/>
              <w:jc w:val="left"/>
            </w:pPr>
            <w:r>
              <w:t xml:space="preserve">The length was appropriate. I always felt stimulated and engaged.</w:t>
            </w:r>
          </w:p>
        </w:tc>
      </w:tr>
      <w:tr>
        <w:tc>
          <w:tcPr/>
          <w:p>
            <w:pPr>
              <w:pStyle w:val="Compact"/>
              <w:jc w:val="left"/>
            </w:pPr>
            <w:r>
              <w:t xml:space="preserve">Overall</w:t>
            </w:r>
          </w:p>
        </w:tc>
        <w:tc>
          <w:tcPr/>
          <w:p>
            <w:pPr>
              <w:pStyle w:val="Compact"/>
              <w:jc w:val="left"/>
            </w:pPr>
            <w:r>
              <w:t xml:space="preserve">35/35</w:t>
            </w:r>
          </w:p>
        </w:tc>
        <w:tc>
          <w:tcPr/>
          <w:p>
            <w:pPr>
              <w:pStyle w:val="Compact"/>
              <w:jc w:val="left"/>
            </w:pPr>
            <w:r>
              <w:t xml:space="preserve">Best video I’ve seen so far at the competition. I also like that you paid attention to the audio quality. Lots of people neglected this.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“Zero Knowledge Proofs - My second favorite video.</w:t>
            </w:r>
          </w:p>
        </w:tc>
      </w:tr>
      <w:tr>
        <w:trPr>
          <w:cantSplit/>
        </w:trPr>
        <w:tc>
          <w:tcPr>
            <w:tcMar>
              <w:top w:w="108" w:type="dxa"/>
              <w:bottom w:w="108" w:type="dxa"/>
            </w:tcMar>
          </w:tcPr>
          <w:p>
            <w:pPr>
              <w:pStyle w:val="BodyText"/>
            </w:pPr>
            <w:pPr>
              <w:spacing w:before="16"/>
            </w:pPr>
            <w:r>
              <w:t xml:space="preserve">This video was a close contender for my overall favorite video but it covered a topic I have not encountered before and was too information dense in the second half of the video.</w:t>
            </w:r>
          </w:p>
          <w:p>
            <w:pPr>
              <w:pStyle w:val="BodyText"/>
            </w:pPr>
            <w:hyperlink r:id="rId36">
              <w:r>
                <w:rPr>
                  <w:rStyle w:val="Hyperlink"/>
                </w:rPr>
                <w:t xml:space="preserve">https://youtube.com/watch?v=FfeXX6OLq8w</w:t>
              </w:r>
            </w:hyperlink>
          </w:p>
          <w:p>
            <w:pPr>
              <w:pStyle w:val="BodyText"/>
            </w:pPr>
            <w:r>
              <w:rPr>
                <w:bCs/>
                <w:b/>
              </w:rPr>
              <w:t xml:space="preserve">My rating:</w:t>
            </w:r>
          </w:p>
          <w:tbl>
            <w:tblPr>
              <w:tblStyle w:val="Table"/>
              <w:tblW w:type="pct" w:w="5000"/>
              <w:tblLook w:firstRow="1" w:lastRow="0" w:firstColumn="0" w:lastColumn="0" w:noHBand="0" w:noVBand="0" w:val="0020"/>
              <w:jc w:val="start"/>
            </w:tblPr>
            <w:tblGrid>
              <w:gridCol w:w="310"/>
              <w:gridCol w:w="310"/>
              <w:gridCol w:w="7299"/>
            </w:tblGrid>
            <w:tr>
              <w:trPr>
                <w:tblHeader w:val="true"/>
              </w:trPr>
              <w:tc>
                <w:tcPr/>
                <w:p>
                  <w:pPr>
                    <w:pStyle w:val="Compact"/>
                    <w:jc w:val="left"/>
                  </w:pPr>
                  <w:r>
                    <w:t xml:space="preserve">Criteria</w:t>
                  </w:r>
                </w:p>
              </w:tc>
              <w:tc>
                <w:tcPr/>
                <w:p>
                  <w:pPr>
                    <w:pStyle w:val="Compact"/>
                    <w:jc w:val="left"/>
                  </w:pPr>
                  <w:r>
                    <w:t xml:space="preserve">Score</w:t>
                  </w:r>
                </w:p>
              </w:tc>
              <w:tc>
                <w:tcPr/>
                <w:p>
                  <w:pPr>
                    <w:pStyle w:val="Compact"/>
                    <w:jc w:val="left"/>
                  </w:pPr>
                  <w:r>
                    <w:t xml:space="preserve">Description</w:t>
                  </w:r>
                </w:p>
              </w:tc>
            </w:tr>
            <w:tr>
              <w:tc>
                <w:tcPr/>
                <w:p>
                  <w:pPr>
                    <w:pStyle w:val="Compact"/>
                    <w:jc w:val="left"/>
                  </w:pPr>
                  <w:r>
                    <w:t xml:space="preserve">Motivation</w:t>
                  </w:r>
                </w:p>
              </w:tc>
              <w:tc>
                <w:tcPr/>
                <w:p>
                  <w:pPr>
                    <w:pStyle w:val="Compact"/>
                    <w:jc w:val="left"/>
                  </w:pPr>
                  <w:r>
                    <w:t xml:space="preserve">10/10</w:t>
                  </w:r>
                </w:p>
              </w:tc>
              <w:tc>
                <w:tcPr/>
                <w:p>
                  <w:pPr>
                    <w:pStyle w:val="Compact"/>
                    <w:jc w:val="left"/>
                  </w:pPr>
                  <w:r>
                    <w:t xml:space="preserve">The video was very well-motivated. I particularly liked the visually easy-to-follow sudoku example.</w:t>
                  </w:r>
                </w:p>
              </w:tc>
            </w:tr>
            <w:tr>
              <w:tc>
                <w:tcPr/>
                <w:p>
                  <w:pPr>
                    <w:pStyle w:val="Compact"/>
                    <w:jc w:val="left"/>
                  </w:pPr>
                  <w:r>
                    <w:t xml:space="preserve">Explanation</w:t>
                  </w:r>
                </w:p>
              </w:tc>
              <w:tc>
                <w:tcPr/>
                <w:p>
                  <w:pPr>
                    <w:pStyle w:val="Compact"/>
                    <w:jc w:val="left"/>
                  </w:pPr>
                  <w:r>
                    <w:t xml:space="preserve">8.5/10</w:t>
                  </w:r>
                </w:p>
              </w:tc>
              <w:tc>
                <w:tcPr/>
                <w:p>
                  <w:pPr>
                    <w:pStyle w:val="Compact"/>
                    <w:jc w:val="left"/>
                  </w:pPr>
                  <w:r>
                    <w:t xml:space="preserve">The video was very well explained until 15:42 when you started talking about polynomial commitments. The screen was very often overwhelmingly full of information and I couldn’t follow the content very well.</w:t>
                  </w:r>
                </w:p>
              </w:tc>
            </w:tr>
            <w:tr>
              <w:tc>
                <w:tcPr/>
                <w:p>
                  <w:pPr>
                    <w:pStyle w:val="Compact"/>
                    <w:jc w:val="left"/>
                  </w:pPr>
                  <w:r>
                    <w:t xml:space="preserve">Originality</w:t>
                  </w:r>
                </w:p>
              </w:tc>
              <w:tc>
                <w:tcPr/>
                <w:p>
                  <w:pPr>
                    <w:pStyle w:val="Compact"/>
                    <w:jc w:val="left"/>
                  </w:pPr>
                  <w:r>
                    <w:t xml:space="preserve">6.5/10</w:t>
                  </w:r>
                </w:p>
              </w:tc>
              <w:tc>
                <w:tcPr/>
                <w:p>
                  <w:pPr>
                    <w:pStyle w:val="Compact"/>
                    <w:jc w:val="left"/>
                  </w:pPr>
                  <w:r>
                    <w:t xml:space="preserve">As part of the competition I’ve seen other Zero Knowledge Proof videos, but this one was by far the most thorough. The visualizations were well made and the guiding sudoku example was well chosen. I think this was not the most original work I’ve seen as the topic could have been covered by lots of other people. The way in which it was covered was sufficiently distinct though.</w:t>
                  </w:r>
                </w:p>
              </w:tc>
            </w:tr>
            <w:tr>
              <w:tc>
                <w:tcPr/>
                <w:p>
                  <w:pPr>
                    <w:pStyle w:val="Compact"/>
                    <w:jc w:val="left"/>
                  </w:pPr>
                  <w:r>
                    <w:t xml:space="preserve">Length</w:t>
                  </w:r>
                </w:p>
              </w:tc>
              <w:tc>
                <w:tcPr/>
                <w:p>
                  <w:pPr>
                    <w:pStyle w:val="Compact"/>
                    <w:jc w:val="left"/>
                  </w:pPr>
                  <w:r>
                    <w:t xml:space="preserve">3/5</w:t>
                  </w:r>
                </w:p>
              </w:tc>
              <w:tc>
                <w:tcPr/>
                <w:p>
                  <w:pPr>
                    <w:pStyle w:val="Compact"/>
                    <w:jc w:val="left"/>
                  </w:pPr>
                  <w:r>
                    <w:t xml:space="preserve">For my taste the video was too long. The video should have been split in 2. Part 1 (0:00 - 15:42) and Part 2 (15:42 - 26:48). Part 1 was very well explained and I was fully engaged. My attention started drifting in Part 2 as I couldn’t follow the main concepts.</w:t>
                  </w:r>
                </w:p>
              </w:tc>
            </w:tr>
            <w:tr>
              <w:tc>
                <w:tcPr/>
                <w:p>
                  <w:pPr>
                    <w:pStyle w:val="Compact"/>
                    <w:jc w:val="left"/>
                  </w:pPr>
                  <w:r>
                    <w:t xml:space="preserve">Overall</w:t>
                  </w:r>
                </w:p>
              </w:tc>
              <w:tc>
                <w:tcPr/>
                <w:p>
                  <w:pPr>
                    <w:pStyle w:val="Compact"/>
                    <w:jc w:val="left"/>
                  </w:pPr>
                  <w:r>
                    <w:t xml:space="preserve">28/35</w:t>
                  </w:r>
                </w:p>
              </w:tc>
              <w:tc>
                <w:tcPr/>
                <w:p>
                  <w:pPr>
                    <w:pStyle w:val="Compact"/>
                    <w:jc w:val="left"/>
                  </w:pPr>
                  <w:r>
                    <w:t xml:space="preserve">The second-best video I’ve seen so far. Good job!</w:t>
                  </w:r>
                </w:p>
              </w:tc>
            </w:tr>
          </w:tbl>
        </w:tc>
      </w:tr>
    </w:tbl>
    <w:bookmarkStart w:id="41" w:name="Xb7763dafff00f8cd641da73a2257ac3063d0b34"/>
    <w:p>
      <w:pPr>
        <w:pStyle w:val="Heading2"/>
      </w:pPr>
      <w:r>
        <w:t xml:space="preserve">Polysemanticity and Capacity in Neural Networks</w:t>
      </w:r>
    </w:p>
    <w:p>
      <w:pPr>
        <w:pStyle w:val="FirstParagraph"/>
      </w:pPr>
      <w:r>
        <w:t xml:space="preserve">Last but not least, here’s my own entry. It’s a walkthrough of the key concepts necessary to understand the paper</w:t>
      </w:r>
      <w:r>
        <w:t xml:space="preserve"> </w:t>
      </w:r>
      <w:hyperlink r:id="rId37">
        <w:r>
          <w:rPr>
            <w:rStyle w:val="Hyperlink"/>
          </w:rPr>
          <w:t xml:space="preserve">“</w:t>
        </w:r>
        <w:r>
          <w:rPr>
            <w:rStyle w:val="Hyperlink"/>
          </w:rPr>
          <w:t xml:space="preserve">Polysemanticity and Capacity in Neural Networks</w:t>
        </w:r>
        <w:r>
          <w:rPr>
            <w:rStyle w:val="Hyperlink"/>
          </w:rPr>
          <w:t xml:space="preserve">”</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Jargon Alert</w:t>
            </w:r>
          </w:p>
        </w:tc>
      </w:tr>
      <w:tr>
        <w:trPr>
          <w:cantSplit/>
        </w:trPr>
        <w:tc>
          <w:tcPr>
            <w:tcMar>
              <w:top w:w="108" w:type="dxa"/>
              <w:bottom w:w="108" w:type="dxa"/>
            </w:tcMar>
          </w:tcPr>
          <w:p>
            <w:pPr>
              <w:pStyle w:val="BodyText"/>
            </w:pPr>
            <w:pPr>
              <w:spacing w:before="16"/>
            </w:pPr>
            <w:r>
              <w:t xml:space="preserve">This is a video about ongoing research in AI Safety. You might not have the necessary background to understand everything.</w:t>
            </w:r>
          </w:p>
          <w:p>
            <w:pPr>
              <w:pStyle w:val="BodyText"/>
            </w:pPr>
            <w:pPr>
              <w:spacing w:after="16"/>
            </w:pPr>
            <w:r>
              <w:t xml:space="preserve">That’s ok, I tried to introduce all relevant terms and abstract away the math with visual intuitions.</w:t>
            </w:r>
          </w:p>
        </w:tc>
      </w:tr>
    </w:tbl>
    <w:p>
      <w:pPr>
        <w:pStyle w:val="BodyText"/>
      </w:pPr>
      <w:r>
        <w:t xml:space="preserve">From the papers abstract:</w:t>
      </w:r>
    </w:p>
    <w:p>
      <w:pPr>
        <w:pStyle w:val="BlockText"/>
      </w:pPr>
      <w:r>
        <w:t xml:space="preserve">Individual neurons in neural networks often represent a mixture of unrelated features. This</w:t>
      </w:r>
      <w:r>
        <w:t xml:space="preserve"> </w:t>
      </w:r>
      <w:r>
        <w:t xml:space="preserve">phenomenon, called polysemanticity, can make interpreting neural networks more difficult</w:t>
      </w:r>
      <w:r>
        <w:t xml:space="preserve"> </w:t>
      </w:r>
      <w:r>
        <w:t xml:space="preserve">and so we aim to understand its causes. We propose doing so through the lens of feature</w:t>
      </w:r>
      <w:r>
        <w:t xml:space="preserve"> </w:t>
      </w:r>
      <w:r>
        <w:t xml:space="preserve">capacity, which is the fractional dimension each feature consumes in the embedding space.</w:t>
      </w:r>
    </w:p>
    <w:p>
      <w:pPr>
        <w:pStyle w:val="FirstParagraph"/>
      </w:pPr>
      <w:r>
        <w:t xml:space="preserve">In the video, I explain:</w:t>
      </w:r>
    </w:p>
    <w:p>
      <w:pPr>
        <w:numPr>
          <w:ilvl w:val="0"/>
          <w:numId w:val="1002"/>
        </w:numPr>
        <w:pStyle w:val="Compact"/>
      </w:pPr>
      <w:r>
        <w:t xml:space="preserve">Polysemiticity and how it’s different from superposition</w:t>
      </w:r>
    </w:p>
    <w:p>
      <w:pPr>
        <w:numPr>
          <w:ilvl w:val="0"/>
          <w:numId w:val="1002"/>
        </w:numPr>
        <w:pStyle w:val="Compact"/>
      </w:pPr>
      <w:r>
        <w:t xml:space="preserve">The impact of feature importance and sparsity on representation capacity allocation</w:t>
      </w:r>
    </w:p>
    <w:p>
      <w:pPr>
        <w:numPr>
          <w:ilvl w:val="0"/>
          <w:numId w:val="1002"/>
        </w:numPr>
        <w:pStyle w:val="Compact"/>
      </w:pPr>
      <w:r>
        <w:t xml:space="preserve">Visualizations of polysemantic and monosemantic neurons</w:t>
      </w:r>
    </w:p>
    <w:p>
      <w:pPr>
        <w:numPr>
          <w:ilvl w:val="0"/>
          <w:numId w:val="1002"/>
        </w:numPr>
        <w:pStyle w:val="Compact"/>
      </w:pPr>
      <w:r>
        <w:t xml:space="preserve">Feature capacity and its relation to fractional dimension</w:t>
      </w:r>
    </w:p>
    <w:p>
      <w:pPr>
        <w:numPr>
          <w:ilvl w:val="0"/>
          <w:numId w:val="1002"/>
        </w:numPr>
        <w:pStyle w:val="Compact"/>
      </w:pPr>
      <w:r>
        <w:t xml:space="preserve">Budget allocation plots and their analysis</w:t>
      </w:r>
    </w:p>
    <w:p>
      <w:pPr>
        <w:numPr>
          <w:ilvl w:val="0"/>
          <w:numId w:val="1002"/>
        </w:numPr>
        <w:pStyle w:val="Compact"/>
      </w:pPr>
      <w:r>
        <w:t xml:space="preserve">Phase diagrams for understanding feature allocation dynamics</w:t>
      </w:r>
    </w:p>
    <w:p>
      <w:pPr>
        <w:pStyle w:val="FirstParagraph"/>
      </w:pPr>
      <w:hyperlink r:id="rId40">
        <w:r>
          <w:rPr>
            <w:rStyle w:val="Hyperlink"/>
          </w:rPr>
          <w:t xml:space="preserve">https://www.youtube.com/watch?v=ovmRuyqbxXU&amp;t=2s</w:t>
        </w:r>
      </w:hyperlink>
    </w:p>
    <w:p>
      <w:pPr>
        <w:pStyle w:val="BodyText"/>
      </w:pPr>
      <w:r>
        <w:t xml:space="preserve">What’s your rating? I’d love to hear some feedback.</w:t>
      </w:r>
    </w:p>
    <w:bookmarkEnd w:id="41"/>
    <w:bookmarkStart w:id="42" w:name="conclusion-and-call-to-action"/>
    <w:p>
      <w:pPr>
        <w:pStyle w:val="Heading2"/>
      </w:pPr>
      <w:r>
        <w:t xml:space="preserve">Conclusion and Call to Action</w:t>
      </w:r>
    </w:p>
    <w:p>
      <w:pPr>
        <w:pStyle w:val="FirstParagraph"/>
      </w:pPr>
      <w:r>
        <w:t xml:space="preserve">What a summer it’s been! From delving deep into mathematical wonders to appreciating the art of explaining complex topics, it’s been a whirlwind of learning and fun. And if there’s one thing I’ve taken away from this adventure, it’s the sheer joy of creating math explainers. So, dear reader, I urge you to dive into the world of math exposition. Craft your own stories. Share your passion. Who knows? Maybe next summer, I’ll be watching your video and getting my mind blown!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mpg4" /><Relationship Type="http://schemas.openxmlformats.org/officeDocument/2006/relationships/hyperlink" Id="rId37" Target="https://arxiv.org/pdf/2210.01892.pdf" TargetMode="External" /><Relationship Type="http://schemas.openxmlformats.org/officeDocument/2006/relationships/hyperlink" Id="rId20" Target="https://some.3b1b.co/" TargetMode="External" /><Relationship Type="http://schemas.openxmlformats.org/officeDocument/2006/relationships/hyperlink" Id="rId32" Target="https://www.youtube.com/watch?v=bHu3CfJ3ttk&amp;ab_channel=BraverNewMath" TargetMode="External" /><Relationship Type="http://schemas.openxmlformats.org/officeDocument/2006/relationships/hyperlink" Id="rId40" Target="https://www.youtube.com/watch?v=ovmRuyqbxXU&amp;t=2s" TargetMode="External" /><Relationship Type="http://schemas.openxmlformats.org/officeDocument/2006/relationships/hyperlink" Id="rId36" Target="https://youtube.com/watch?v=FfeXX6OLq8w"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210.01892.pdf" TargetMode="External" /><Relationship Type="http://schemas.openxmlformats.org/officeDocument/2006/relationships/hyperlink" Id="rId20" Target="https://some.3b1b.co/" TargetMode="External" /><Relationship Type="http://schemas.openxmlformats.org/officeDocument/2006/relationships/hyperlink" Id="rId32" Target="https://www.youtube.com/watch?v=bHu3CfJ3ttk&amp;ab_channel=BraverNewMath" TargetMode="External" /><Relationship Type="http://schemas.openxmlformats.org/officeDocument/2006/relationships/hyperlink" Id="rId40" Target="https://www.youtube.com/watch?v=ovmRuyqbxXU&amp;t=2s" TargetMode="External" /><Relationship Type="http://schemas.openxmlformats.org/officeDocument/2006/relationships/hyperlink" Id="rId36" Target="https://youtube.com/watch?v=FfeXX6OLq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by Parts for Archers</dc:title>
  <dc:creator>Kay Kozaronek</dc:creator>
  <dc:description>Wanna become a master at Integration by Parts? Let me tell you about my experience with The Summer of Math Exposition by 3Blue1Brown</dc:description>
  <cp:keywords/>
  <dcterms:created xsi:type="dcterms:W3CDTF">2023-08-23T15:12:23Z</dcterms:created>
  <dcterms:modified xsi:type="dcterms:W3CDTF">2023-08-23T15:12:23Z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2023-08-22</vt:lpwstr>
  </property>
  <property fmtid="{D5CDD505-2E9C-101B-9397-08002B2CF9AE}" pid="7" name="draft">
    <vt:lpwstr>False</vt:lpwstr>
  </property>
  <property fmtid="{D5CDD505-2E9C-101B-9397-08002B2CF9AE}" pid="8" name="header-includes">
    <vt:lpwstr/>
  </property>
  <property fmtid="{D5CDD505-2E9C-101B-9397-08002B2CF9AE}" pid="9" name="image">
    <vt:lpwstr>images/archer.png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