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standards-of-precedence"/>
    <w:p>
      <w:pPr>
        <w:pStyle w:val="Heading1"/>
      </w:pPr>
      <w:r>
        <w:t xml:space="preserve">Standards of Precedence</w:t>
      </w:r>
    </w:p>
    <w:p>
      <w:pPr>
        <w:pStyle w:val="FirstParagraph"/>
      </w:pPr>
      <w:r>
        <w:t xml:space="preserve">Purpose: The order-of-precedence the auditor applies when two rules disagree. Every finding must</w:t>
      </w:r>
      <w:r>
        <w:t xml:space="preserve"> </w:t>
      </w:r>
      <w:r>
        <w:t xml:space="preserve">cite which level it comes from. When a stricter level applies, it wins — you never relax a</w:t>
      </w:r>
      <w:r>
        <w:t xml:space="preserve"> </w:t>
      </w:r>
      <w:r>
        <w:t xml:space="preserve">requirement because a lower level allows it. This is the compliance equivalent of the</w:t>
      </w:r>
      <w:r>
        <w:t xml:space="preserve"> </w:t>
      </w:r>
      <w:r>
        <w:t xml:space="preserve">“</w:t>
      </w:r>
      <w:r>
        <w:t xml:space="preserve">Standing</w:t>
      </w:r>
      <w:r>
        <w:t xml:space="preserve"> </w:t>
      </w:r>
      <w:r>
        <w:t xml:space="preserve">rules</w:t>
      </w:r>
      <w:r>
        <w:t xml:space="preserve">”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market-watch/n8n-analysis-prompt.md</w:t>
      </w:r>
      <w:r>
        <w:t xml:space="preserve">.</w:t>
      </w:r>
    </w:p>
    <w:p>
      <w:pPr>
        <w:pStyle w:val="BlockText"/>
      </w:pPr>
      <w:r>
        <w:rPr>
          <w:bCs/>
          <w:b/>
        </w:rPr>
        <w:t xml:space="preserve">Golden rule: the strictest applicable requirement governs.</w:t>
      </w:r>
      <w:r>
        <w:t xml:space="preserve"> </w:t>
      </w:r>
      <w:r>
        <w:t xml:space="preserve">Regulation, operator variation,</w:t>
      </w:r>
      <w:r>
        <w:t xml:space="preserve"> </w:t>
      </w:r>
      <w:r>
        <w:t xml:space="preserve">and state variation stack — the shipment must satisfy all of them at once, not just the base rule.</w:t>
      </w:r>
    </w:p>
    <w:p>
      <w:r>
        <w:pict>
          <v:rect style="width:0;height:1.5pt" o:hralign="center" o:hrstd="t" o:hr="t"/>
        </w:pict>
      </w:r>
    </w:p>
    <w:bookmarkStart w:id="20" w:name="Xc3b6bb7d9c8f8ba865b8cfff78dd067938c9bbf"/>
    <w:p>
      <w:pPr>
        <w:pStyle w:val="Heading2"/>
      </w:pPr>
      <w:r>
        <w:t xml:space="preserve">1. Dangerous Goods by air (DGD, AWB handling, dry ice, lithium, biologicals)</w:t>
      </w:r>
    </w:p>
    <w:p>
      <w:pPr>
        <w:pStyle w:val="FirstParagraph"/>
      </w:pPr>
      <w:r>
        <w:t xml:space="preserve">Order of precedence, highest first: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State variations</w:t>
      </w:r>
      <w:r>
        <w:t xml:space="preserve"> </w:t>
      </w:r>
      <w:r>
        <w:t xml:space="preserve">(origin, transit, AND destination country variations) — e.g. </w:t>
      </w:r>
      <w:r>
        <w:rPr>
          <w:rStyle w:val="VerbatimChar"/>
        </w:rPr>
        <w:t xml:space="preserve">USG</w:t>
      </w:r>
      <w:r>
        <w:t xml:space="preserve">,</w:t>
      </w:r>
      <w:r>
        <w:t xml:space="preserve"> </w:t>
      </w:r>
      <w:r>
        <w:rPr>
          <w:rStyle w:val="VerbatimChar"/>
        </w:rPr>
        <w:t xml:space="preserve">CAG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Operator variations</w:t>
      </w:r>
      <w:r>
        <w:t xml:space="preserve"> </w:t>
      </w:r>
      <w:r>
        <w:t xml:space="preserve">(the specific airline’s published variations) — e.g. </w:t>
      </w:r>
      <w:r>
        <w:rPr>
          <w:rStyle w:val="VerbatimChar"/>
        </w:rPr>
        <w:t xml:space="preserve">FXG</w:t>
      </w:r>
      <w:r>
        <w:t xml:space="preserve">,</w:t>
      </w:r>
      <w:r>
        <w:t xml:space="preserve"> </w:t>
      </w:r>
      <w:r>
        <w:rPr>
          <w:rStyle w:val="VerbatimChar"/>
        </w:rPr>
        <w:t xml:space="preserve">LHG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IATA DGR, 67th Edition</w:t>
      </w:r>
      <w:r>
        <w:t xml:space="preserve"> </w:t>
      </w:r>
      <w:r>
        <w:t xml:space="preserve">(the edition Kenya is certified on) — the working ruleset.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ICAO Technical Instructions</w:t>
      </w:r>
      <w:r>
        <w:t xml:space="preserve"> </w:t>
      </w:r>
      <w:r>
        <w:t xml:space="preserve">— the legal source IATA DGR is built on; IATA is equal-or-stricter.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49 CFR (US DOT/PHMSA)</w:t>
      </w:r>
      <w:r>
        <w:t xml:space="preserve"> </w:t>
      </w:r>
      <w:r>
        <w:t xml:space="preserve">— governs the US ground legs and US domestic movement.</w:t>
      </w:r>
    </w:p>
    <w:p>
      <w:pPr>
        <w:pStyle w:val="FirstParagraph"/>
      </w:pPr>
      <w:r>
        <w:t xml:space="preserve">Rule of thumb:</w:t>
      </w:r>
      <w:r>
        <w:t xml:space="preserve"> </w:t>
      </w:r>
      <w:r>
        <w:rPr>
          <w:bCs/>
          <w:b/>
        </w:rPr>
        <w:t xml:space="preserve">IATA DGR is the day-to-day authority for air, but a state or operator variation</w:t>
      </w:r>
      <w:r>
        <w:rPr>
          <w:bCs/>
          <w:b/>
        </w:rPr>
        <w:t xml:space="preserve"> </w:t>
      </w:r>
      <w:r>
        <w:rPr>
          <w:bCs/>
          <w:b/>
        </w:rPr>
        <w:t xml:space="preserve">that is stricter overrides it.</w:t>
      </w:r>
      <w:r>
        <w:t xml:space="preserve"> </w:t>
      </w:r>
      <w:r>
        <w:t xml:space="preserve">If IATA and 49 CFR conflict on a US domestic ground leg, 49 CFR</w:t>
      </w:r>
      <w:r>
        <w:t xml:space="preserve"> </w:t>
      </w:r>
      <w:r>
        <w:t xml:space="preserve">governs that leg.</w:t>
      </w:r>
    </w:p>
    <w:bookmarkEnd w:id="20"/>
    <w:bookmarkStart w:id="21" w:name="X000518755147b4865096185cac7f235012b74cf"/>
    <w:p>
      <w:pPr>
        <w:pStyle w:val="Heading2"/>
      </w:pPr>
      <w:r>
        <w:t xml:space="preserve">2. Cold chain / pharma temperature and quality (GDP/GMP, temp logs, CoA, excursions)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The product’s own label / marketing authorization storage condition</w:t>
      </w:r>
      <w:r>
        <w:t xml:space="preserve"> </w:t>
      </w:r>
      <w:r>
        <w:t xml:space="preserve">(e.g. </w:t>
      </w:r>
      <w:r>
        <w:t xml:space="preserve">“</w:t>
      </w:r>
      <w:r>
        <w:t xml:space="preserve">store 2–8 °C</w:t>
      </w:r>
      <w:r>
        <w:t xml:space="preserve">”</w:t>
      </w:r>
      <w:r>
        <w:t xml:space="preserve">).</w:t>
      </w:r>
      <w:r>
        <w:t xml:space="preserve"> </w:t>
      </w:r>
      <w:r>
        <w:t xml:space="preserve">This is the floor — never widen it.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Destination-country GDP/GMP regulation</w:t>
      </w:r>
      <w:r>
        <w:t xml:space="preserve"> </w:t>
      </w:r>
      <w:r>
        <w:t xml:space="preserve">(e.g. EU GDP Guidelines 2013/C 343/01; FDA 21 CFR</w:t>
      </w:r>
      <w:r>
        <w:t xml:space="preserve"> </w:t>
      </w:r>
      <w:r>
        <w:t xml:space="preserve">210/211 for US drug GMP).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IATA CEIV Pharma / IATA Temperature Control Regulations (TCR)</w:t>
      </w:r>
      <w:r>
        <w:t xml:space="preserve"> </w:t>
      </w:r>
      <w:r>
        <w:t xml:space="preserve">for the air-transport leg.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WHO TRS 961 Annex 9 / USP &lt;1079&gt;</w:t>
      </w:r>
      <w:r>
        <w:t xml:space="preserve"> </w:t>
      </w:r>
      <w:r>
        <w:t xml:space="preserve">as supporting good-practice references.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Customer SOP / quality agreement</w:t>
      </w:r>
      <w:r>
        <w:t xml:space="preserve">, when stricter than the above.</w:t>
      </w:r>
    </w:p>
    <w:p>
      <w:pPr>
        <w:pStyle w:val="FirstParagraph"/>
      </w:pPr>
      <w:r>
        <w:t xml:space="preserve">Rule of thumb:</w:t>
      </w:r>
      <w:r>
        <w:t xml:space="preserve"> </w:t>
      </w:r>
      <w:r>
        <w:rPr>
          <w:bCs/>
          <w:b/>
        </w:rPr>
        <w:t xml:space="preserve">the narrowest temperature range and the strictest retention/documentation</w:t>
      </w:r>
      <w:r>
        <w:rPr>
          <w:bCs/>
          <w:b/>
        </w:rPr>
        <w:t xml:space="preserve"> </w:t>
      </w:r>
      <w:r>
        <w:rPr>
          <w:bCs/>
          <w:b/>
        </w:rPr>
        <w:t xml:space="preserve">requirement win.</w:t>
      </w:r>
      <w:r>
        <w:t xml:space="preserve"> </w:t>
      </w:r>
      <w:r>
        <w:t xml:space="preserve">A CoA or temp log that meets IATA but violates the product label fails.</w:t>
      </w:r>
    </w:p>
    <w:bookmarkEnd w:id="21"/>
    <w:bookmarkStart w:id="22" w:name="X79960545c79a2b5b987fc5a5b77242813be76f8"/>
    <w:p>
      <w:pPr>
        <w:pStyle w:val="Heading2"/>
      </w:pPr>
      <w:r>
        <w:t xml:space="preserve">3. Customs / trade documentation (commercial invoice, packing list, entry)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Destination-country customs law</w:t>
      </w:r>
      <w:r>
        <w:t xml:space="preserve"> </w:t>
      </w:r>
      <w:r>
        <w:t xml:space="preserve">(for US import: 19 CFR; CBP rulings).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Origin-country export controls</w:t>
      </w:r>
      <w:r>
        <w:t xml:space="preserve"> </w:t>
      </w:r>
      <w:r>
        <w:t xml:space="preserve">(e.g. US EAR/OFAC/ITAR where applicable).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Incoterms 2020</w:t>
      </w:r>
      <w:r>
        <w:t xml:space="preserve"> </w:t>
      </w:r>
      <w:r>
        <w:t xml:space="preserve">— governs cost/risk split; must be internally consistent with the invoice.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Carrier / forwarder documentation requirements.</w:t>
      </w:r>
    </w:p>
    <w:p>
      <w:pPr>
        <w:pStyle w:val="FirstParagraph"/>
      </w:pPr>
      <w:r>
        <w:t xml:space="preserve">Rule of thumb:</w:t>
      </w:r>
      <w:r>
        <w:t xml:space="preserve"> </w:t>
      </w:r>
      <w:r>
        <w:rPr>
          <w:bCs/>
          <w:b/>
        </w:rPr>
        <w:t xml:space="preserve">the destination customs authority has final say on classification and valuation.</w:t>
      </w:r>
      <w:r>
        <w:t xml:space="preserve"> </w:t>
      </w:r>
      <w:r>
        <w:t xml:space="preserve">HS code and declared value must satisfy the import country, not just the shipper’s convenience.</w:t>
      </w:r>
    </w:p>
    <w:bookmarkEnd w:id="22"/>
    <w:bookmarkStart w:id="23" w:name="Xf1d9cc8a24584c57cdf4f518ca5306a39526611"/>
    <w:p>
      <w:pPr>
        <w:pStyle w:val="Heading2"/>
      </w:pPr>
      <w:r>
        <w:t xml:space="preserve">4. When documents in one shipment disagree with each other</w:t>
      </w:r>
    </w:p>
    <w:p>
      <w:pPr>
        <w:pStyle w:val="FirstParagraph"/>
      </w:pPr>
      <w:r>
        <w:t xml:space="preserve">The physical package and the most-regulated document win, in this order: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What is actually on/in the package</w:t>
      </w:r>
      <w:r>
        <w:t xml:space="preserve"> </w:t>
      </w:r>
      <w:r>
        <w:t xml:space="preserve">(marks, labels, weighed quantity) — reality beats paper.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Shipper’s Declaration for Dangerous Goods</w:t>
      </w:r>
      <w:r>
        <w:t xml:space="preserve"> </w:t>
      </w:r>
      <w:r>
        <w:t xml:space="preserve">(for anything hazmat-related).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Air Waybill / Bill of Lading</w:t>
      </w:r>
      <w:r>
        <w:t xml:space="preserve"> </w:t>
      </w:r>
      <w:r>
        <w:t xml:space="preserve">(the transport contract).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Commercial Invoice</w:t>
      </w:r>
      <w:r>
        <w:t xml:space="preserve"> </w:t>
      </w:r>
      <w:r>
        <w:t xml:space="preserve">(value/classification).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Packing List</w:t>
      </w:r>
      <w:r>
        <w:t xml:space="preserve"> </w:t>
      </w:r>
      <w:r>
        <w:t xml:space="preserve">(piece/weight detail).</w:t>
      </w:r>
    </w:p>
    <w:p>
      <w:pPr>
        <w:pStyle w:val="FirstParagraph"/>
      </w:pPr>
      <w:r>
        <w:t xml:space="preserve">Example: if the packing list says 4 cartons and the AWB says 3, and the pieces on the dock are 3,</w:t>
      </w:r>
      <w:r>
        <w:t xml:space="preserve"> </w:t>
      </w:r>
      <w:r>
        <w:t xml:space="preserve">the finding is</w:t>
      </w:r>
      <w:r>
        <w:t xml:space="preserve"> </w:t>
      </w:r>
      <w:r>
        <w:t xml:space="preserve">“</w:t>
      </w:r>
      <w:r>
        <w:t xml:space="preserve">packing list overstates piece count — correct packing list to 3,</w:t>
      </w:r>
      <w:r>
        <w:t xml:space="preserve">”</w:t>
      </w:r>
      <w:r>
        <w:t xml:space="preserve"> </w:t>
      </w:r>
      <w:r>
        <w:t xml:space="preserve">not the reverse.</w:t>
      </w:r>
    </w:p>
    <w:bookmarkEnd w:id="23"/>
    <w:bookmarkStart w:id="24" w:name="X365681e4c6aa5f13b815546ff24c2e51b26dcb5"/>
    <w:p>
      <w:pPr>
        <w:pStyle w:val="Heading2"/>
      </w:pPr>
      <w:r>
        <w:t xml:space="preserve">5. Severity mapping (how precedence becomes a flag)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🔴 Critical</w:t>
      </w:r>
      <w:r>
        <w:t xml:space="preserve"> </w:t>
      </w:r>
      <w:r>
        <w:t xml:space="preserve">— violates level 1–3 of the applicable DG chain, the product-label temperature, or</w:t>
      </w:r>
      <w:r>
        <w:t xml:space="preserve"> </w:t>
      </w:r>
      <w:r>
        <w:t xml:space="preserve">destination customs law; or a mismatch that would get the shipment rejected, held, or make it</w:t>
      </w:r>
      <w:r>
        <w:t xml:space="preserve"> </w:t>
      </w:r>
      <w:r>
        <w:t xml:space="preserve">unsafe/illegal to tender. Shipment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go until fixed.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🟡 Major</w:t>
      </w:r>
      <w:r>
        <w:t xml:space="preserve"> </w:t>
      </w:r>
      <w:r>
        <w:t xml:space="preserve">— violates a lower-precedence rule, an internal document-to-document mismatch that is</w:t>
      </w:r>
      <w:r>
        <w:t xml:space="preserve"> </w:t>
      </w:r>
      <w:r>
        <w:t xml:space="preserve">correctable before tender, or a missing non-safety field. Fix before tender.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🟢 Minor</w:t>
      </w:r>
      <w:r>
        <w:t xml:space="preserve"> </w:t>
      </w:r>
      <w:r>
        <w:t xml:space="preserve">— formatting, legibility, best-practice, or advisory items that don’t block the</w:t>
      </w:r>
      <w:r>
        <w:t xml:space="preserve"> </w:t>
      </w:r>
      <w:r>
        <w:t xml:space="preserve">shipment but should be cleaned up.</w:t>
      </w:r>
    </w:p>
    <w:p>
      <w:pPr>
        <w:pStyle w:val="FirstParagraph"/>
      </w:pPr>
      <w:r>
        <w:t xml:space="preserve">Every flag names the level it came from (e.g. </w:t>
      </w:r>
      <w:r>
        <w:t xml:space="preserve">“</w:t>
      </w:r>
      <w:r>
        <w:t xml:space="preserve">Critical — IATA DGR 67th ed., dry ice net weight</w:t>
      </w:r>
      <w:r>
        <w:t xml:space="preserve"> </w:t>
      </w:r>
      <w:r>
        <w:t xml:space="preserve">must be in kg; State variation USG also applies</w:t>
      </w:r>
      <w:r>
        <w:t xml:space="preserve">”</w:t>
      </w:r>
      <w:r>
        <w:t xml:space="preserve">).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2026-08-30T01:41:52Z</dcterms:created>
  <dcterms:modified xsi:type="dcterms:W3CDTF">2026-08-30T01:41:52Z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