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forms-index"/>
    <w:p>
      <w:pPr>
        <w:pStyle w:val="Heading1"/>
      </w:pPr>
      <w:r>
        <w:t xml:space="preserve">Forms Index</w:t>
      </w:r>
    </w:p>
    <w:p>
      <w:pPr>
        <w:pStyle w:val="FirstParagraph"/>
      </w:pPr>
      <w:r>
        <w:t xml:space="preserve">Purpose: Central pointer to the form reference documents added throughout the repo on 2026-07-05. Each reference file summarizes required fields/checklist items and links to the official downloadable source — actual proprietary/government PDFs are not mirrored here directly (see individual files for the copyright/network-access note).</w:t>
      </w:r>
    </w:p>
    <w:bookmarkStart w:id="20" w:name="air-cargo-templates"/>
    <w:p>
      <w:pPr>
        <w:pStyle w:val="Heading2"/>
      </w:pPr>
      <w:r>
        <w:t xml:space="preserve">Air Cargo / Templates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templates/01-awb/awb-reference-template.md</w:t>
      </w:r>
      <w:r>
        <w:t xml:space="preserve"> </w:t>
      </w:r>
      <w:r>
        <w:t xml:space="preserve">— Air Waybill field reference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templates/02-shipper-declaration/shippers-declaration-reference.md</w:t>
      </w:r>
      <w:r>
        <w:t xml:space="preserve"> </w:t>
      </w:r>
      <w:r>
        <w:t xml:space="preserve">— Shipper’s Declaration for Dangerous Goods field reference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templates/03-commercial-invoice/commercial-invoice-reference.md</w:t>
      </w:r>
      <w:r>
        <w:t xml:space="preserve"> </w:t>
      </w:r>
      <w:r>
        <w:t xml:space="preserve">— Commercial Invoice field reference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templates/04-packing-list/packing-list-reference.md</w:t>
      </w:r>
      <w:r>
        <w:t xml:space="preserve"> </w:t>
      </w:r>
      <w:r>
        <w:t xml:space="preserve">— Packing List field reference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templates/07-bill-of-lading/bill-of-lading-reference.md</w:t>
      </w:r>
      <w:r>
        <w:t xml:space="preserve"> </w:t>
      </w:r>
      <w:r>
        <w:t xml:space="preserve">— Ocean Bill of Lading field reference (IMDG for sea DG)</w:t>
      </w:r>
    </w:p>
    <w:bookmarkEnd w:id="20"/>
    <w:bookmarkStart w:id="21" w:name="pharma"/>
    <w:p>
      <w:pPr>
        <w:pStyle w:val="Heading2"/>
      </w:pPr>
      <w:r>
        <w:t xml:space="preserve">Pharma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pharma/01-gdp-gmp/gdp-gmp-records-reference.md</w:t>
      </w:r>
      <w:r>
        <w:t xml:space="preserve"> </w:t>
      </w:r>
      <w:r>
        <w:t xml:space="preserve">— GDP/GMP shipping-record review reference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pharma/02-certificate-of-analysis/certificate-of-analysis-reference.md</w:t>
      </w:r>
      <w:r>
        <w:t xml:space="preserve"> </w:t>
      </w:r>
      <w:r>
        <w:t xml:space="preserve">— Certificate of Analysis review reference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pharma/03-biological-substances/biological-substances-reference.md</w:t>
      </w:r>
      <w:r>
        <w:t xml:space="preserve"> </w:t>
      </w:r>
      <w:r>
        <w:t xml:space="preserve">— Blood / infectious substances (UN2814 / UN2900 / UN3373)</w:t>
      </w:r>
    </w:p>
    <w:bookmarkEnd w:id="21"/>
    <w:bookmarkStart w:id="22" w:name="X165cf4a49b29b1813e4f73a661b2c6c2c300348"/>
    <w:p>
      <w:pPr>
        <w:pStyle w:val="Heading2"/>
      </w:pPr>
      <w:r>
        <w:t xml:space="preserve">Compliance Auditor (agentic document review)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compliance-auditor/README.md</w:t>
      </w:r>
      <w:r>
        <w:t xml:space="preserve"> </w:t>
      </w:r>
      <w:r>
        <w:t xml:space="preserve">— how the photo-in → audit-out workflow works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compliance-auditor/AUDIT-ENGINE-PROMPT.md</w:t>
      </w:r>
      <w:r>
        <w:t xml:space="preserve"> </w:t>
      </w:r>
      <w:r>
        <w:t xml:space="preserve">— the auditor system prompt (the brain)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compliance-auditor/standards-of-precedence.md</w:t>
      </w:r>
      <w:r>
        <w:t xml:space="preserve"> </w:t>
      </w:r>
      <w:r>
        <w:t xml:space="preserve">— which standard wins when rules conflict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compliance-auditor/audit-report-template.md</w:t>
      </w:r>
      <w:r>
        <w:t xml:space="preserve"> </w:t>
      </w:r>
      <w:r>
        <w:t xml:space="preserve">— flagged report + corrected version output shape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compliance-auditor/n8n-workflow-setup.md</w:t>
      </w:r>
      <w:r>
        <w:t xml:space="preserve"> </w:t>
      </w:r>
      <w:r>
        <w:t xml:space="preserve">— self-hosted n8n webhook version</w:t>
      </w:r>
    </w:p>
    <w:bookmarkEnd w:id="22"/>
    <w:bookmarkStart w:id="23" w:name="dangerous-goods"/>
    <w:p>
      <w:pPr>
        <w:pStyle w:val="Heading2"/>
      </w:pPr>
      <w:r>
        <w:t xml:space="preserve">Dangerous Goods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dgr/03-shipper-declarations/completed-example-reference.md</w:t>
      </w:r>
      <w:r>
        <w:t xml:space="preserve"> </w:t>
      </w:r>
      <w:r>
        <w:t xml:space="preserve">— walkthrough of a filled-out DGD example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dgr/05-checklists/dg-checklist-non-radioactive-reference.md</w:t>
      </w:r>
      <w:r>
        <w:t xml:space="preserve"> </w:t>
      </w:r>
      <w:r>
        <w:t xml:space="preserve">— IATA non-radioactive DG checklist</w:t>
      </w:r>
    </w:p>
    <w:bookmarkEnd w:id="23"/>
    <w:bookmarkStart w:id="24" w:name="cold-chain"/>
    <w:p>
      <w:pPr>
        <w:pStyle w:val="Heading2"/>
      </w:pPr>
      <w:r>
        <w:t xml:space="preserve">Cold Chain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cold-chain/02-temperature-control/temperature-log-template.md</w:t>
      </w:r>
      <w:r>
        <w:t xml:space="preserve"> </w:t>
      </w:r>
      <w:r>
        <w:t xml:space="preserve">— ready-to-use temperature log template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cold-chain/03-dry-ice/dry-ice-un1845-documentation-reference.md</w:t>
      </w:r>
      <w:r>
        <w:t xml:space="preserve"> </w:t>
      </w:r>
      <w:r>
        <w:t xml:space="preserve">— UN1845 dry ice labeling/documentation requirements</w:t>
      </w:r>
    </w:p>
    <w:bookmarkEnd w:id="24"/>
    <w:bookmarkStart w:id="25" w:name="customs"/>
    <w:p>
      <w:pPr>
        <w:pStyle w:val="Heading2"/>
      </w:pPr>
      <w:r>
        <w:t xml:space="preserve">Customs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customs/05-import-export/cbp-entry-forms-reference.md</w:t>
      </w:r>
      <w:r>
        <w:t xml:space="preserve"> </w:t>
      </w:r>
      <w:r>
        <w:t xml:space="preserve">— CBP Form 7501 and 3461 reference</w:t>
      </w:r>
    </w:p>
    <w:bookmarkEnd w:id="25"/>
    <w:bookmarkStart w:id="26" w:name="note-on-sourcing"/>
    <w:p>
      <w:pPr>
        <w:pStyle w:val="Heading2"/>
      </w:pPr>
      <w:r>
        <w:t xml:space="preserve">Note on Sourcing</w:t>
      </w:r>
    </w:p>
    <w:p>
      <w:pPr>
        <w:pStyle w:val="FirstParagraph"/>
      </w:pPr>
      <w:r>
        <w:t xml:space="preserve">This session’s network policy blocks direct file downloads from external sites (iata.org, cbp.gov, ups.com, fedex.com, etc.). Each reference file above was written from publicly available field/requirement descriptions and links to the official source for the actual fillable PDF — download those yourself from a normal browser to get the real forms to fill in and compare against these checklists.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2026-08-30T01:45:17Z</dcterms:created>
  <dcterms:modified xsi:type="dcterms:W3CDTF">2026-08-30T01:45:17Z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