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arket-watchlist"/>
    <w:p>
      <w:pPr>
        <w:pStyle w:val="Heading1"/>
      </w:pPr>
      <w:r>
        <w:t xml:space="preserve">Market Watchlist</w:t>
      </w:r>
    </w:p>
    <w:p>
      <w:pPr>
        <w:pStyle w:val="FirstParagraph"/>
      </w:pPr>
      <w:r>
        <w:t xml:space="preserve">Purpose: Track selected public companies through filings, fundamentals, risks, ownership, and long-term infrastructure value.</w:t>
      </w:r>
    </w:p>
    <w:bookmarkStart w:id="20" w:name="active-watchlist"/>
    <w:p>
      <w:pPr>
        <w:pStyle w:val="Heading2"/>
      </w:pPr>
      <w:r>
        <w:t xml:space="preserve">Active Watchlist</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Ticker</w:t>
            </w:r>
          </w:p>
        </w:tc>
        <w:tc>
          <w:tcPr/>
          <w:p>
            <w:pPr>
              <w:pStyle w:val="Compact"/>
              <w:jc w:val="left"/>
            </w:pPr>
            <w:r>
              <w:t xml:space="preserve">Company</w:t>
            </w:r>
          </w:p>
        </w:tc>
        <w:tc>
          <w:tcPr/>
          <w:p>
            <w:pPr>
              <w:pStyle w:val="Compact"/>
              <w:jc w:val="left"/>
            </w:pPr>
            <w:r>
              <w:t xml:space="preserve">Sector</w:t>
            </w:r>
          </w:p>
        </w:tc>
        <w:tc>
          <w:tcPr/>
          <w:p>
            <w:pPr>
              <w:pStyle w:val="Compact"/>
              <w:jc w:val="left"/>
            </w:pPr>
            <w:r>
              <w:t xml:space="preserve">Reason Watching</w:t>
            </w:r>
          </w:p>
        </w:tc>
        <w:tc>
          <w:tcPr/>
          <w:p>
            <w:pPr>
              <w:pStyle w:val="Compact"/>
              <w:jc w:val="left"/>
            </w:pPr>
            <w:r>
              <w:t xml:space="preserve">Priority</w:t>
            </w:r>
          </w:p>
        </w:tc>
        <w:tc>
          <w:tcPr/>
          <w:p>
            <w:pPr>
              <w:pStyle w:val="Compact"/>
              <w:jc w:val="left"/>
            </w:pPr>
            <w:r>
              <w:t xml:space="preserve">Notes</w:t>
            </w:r>
          </w:p>
        </w:tc>
      </w:tr>
      <w:tr>
        <w:tc>
          <w:tcPr/>
          <w:p>
            <w:pPr>
              <w:pStyle w:val="Compact"/>
              <w:jc w:val="left"/>
            </w:pPr>
            <w:r>
              <w:t xml:space="preserve">CARV</w:t>
            </w:r>
          </w:p>
        </w:tc>
        <w:tc>
          <w:tcPr/>
          <w:p>
            <w:pPr>
              <w:pStyle w:val="Compact"/>
              <w:jc w:val="left"/>
            </w:pPr>
            <w:r>
              <w:t xml:space="preserve">Carver Bancorp, Inc.</w:t>
            </w:r>
          </w:p>
        </w:tc>
        <w:tc>
          <w:tcPr/>
          <w:p>
            <w:pPr>
              <w:pStyle w:val="Compact"/>
              <w:jc w:val="left"/>
            </w:pPr>
            <w:r>
              <w:t xml:space="preserve">Banking</w:t>
            </w:r>
          </w:p>
        </w:tc>
        <w:tc>
          <w:tcPr/>
          <w:p>
            <w:pPr>
              <w:pStyle w:val="Compact"/>
              <w:jc w:val="left"/>
            </w:pPr>
            <w:r>
              <w:t xml:space="preserve">Community bank / ownership and capital structure watch</w:t>
            </w:r>
          </w:p>
        </w:tc>
        <w:tc>
          <w:tcPr/>
          <w:p>
            <w:pPr>
              <w:pStyle w:val="Compact"/>
              <w:jc w:val="left"/>
            </w:pPr>
            <w:r>
              <w:t xml:space="preserve">High</w:t>
            </w:r>
          </w:p>
        </w:tc>
        <w:tc>
          <w:tcPr/>
          <w:p>
            <w:pPr>
              <w:pStyle w:val="Compact"/>
              <w:jc w:val="left"/>
            </w:pPr>
            <w:r>
              <w:t xml:space="preserve">Track filings, dilution, capital position, insider activity</w:t>
            </w:r>
          </w:p>
        </w:tc>
      </w:tr>
      <w:tr>
        <w:tc>
          <w:tcPr/>
          <w:p>
            <w:pPr>
              <w:pStyle w:val="Compact"/>
              <w:jc w:val="left"/>
            </w:pPr>
            <w:r>
              <w:t xml:space="preserve">INFQ</w:t>
            </w:r>
          </w:p>
        </w:tc>
        <w:tc>
          <w:tcPr/>
          <w:p>
            <w:pPr>
              <w:pStyle w:val="Compact"/>
              <w:jc w:val="left"/>
            </w:pPr>
            <w:r>
              <w:t xml:space="preserve">Infleqtion Inc.</w:t>
            </w:r>
          </w:p>
        </w:tc>
        <w:tc>
          <w:tcPr/>
          <w:p>
            <w:pPr>
              <w:pStyle w:val="Compact"/>
              <w:jc w:val="left"/>
            </w:pPr>
            <w:r>
              <w:t xml:space="preserve">Quantum technology</w:t>
            </w:r>
          </w:p>
        </w:tc>
        <w:tc>
          <w:tcPr/>
          <w:p>
            <w:pPr>
              <w:pStyle w:val="Compact"/>
              <w:jc w:val="left"/>
            </w:pPr>
            <w:r>
              <w:t xml:space="preserve">Quantum infrastructure and public-company watch</w:t>
            </w:r>
          </w:p>
        </w:tc>
        <w:tc>
          <w:tcPr/>
          <w:p>
            <w:pPr>
              <w:pStyle w:val="Compact"/>
              <w:jc w:val="left"/>
            </w:pPr>
            <w:r>
              <w:t xml:space="preserve">High</w:t>
            </w:r>
          </w:p>
        </w:tc>
        <w:tc>
          <w:tcPr/>
          <w:p>
            <w:pPr>
              <w:pStyle w:val="Compact"/>
              <w:jc w:val="left"/>
            </w:pPr>
            <w:r>
              <w:t xml:space="preserve">Verify latest filings, capital raises, partnerships, dilution</w:t>
            </w:r>
          </w:p>
        </w:tc>
      </w:tr>
      <w:tr>
        <w:tc>
          <w:tcPr/>
          <w:p>
            <w:pPr>
              <w:pStyle w:val="Compact"/>
              <w:jc w:val="left"/>
            </w:pPr>
            <w:r>
              <w:t xml:space="preserve">LIFE</w:t>
            </w:r>
          </w:p>
        </w:tc>
        <w:tc>
          <w:tcPr/>
          <w:p>
            <w:pPr>
              <w:pStyle w:val="Compact"/>
              <w:jc w:val="left"/>
            </w:pPr>
            <w:r>
              <w:t xml:space="preserve">Ethos Technologies</w:t>
            </w:r>
          </w:p>
        </w:tc>
        <w:tc>
          <w:tcPr/>
          <w:p>
            <w:pPr>
              <w:pStyle w:val="Compact"/>
              <w:jc w:val="left"/>
            </w:pPr>
            <w:r>
              <w:t xml:space="preserve">Insurtech / financial technology</w:t>
            </w:r>
          </w:p>
        </w:tc>
        <w:tc>
          <w:tcPr/>
          <w:p>
            <w:pPr>
              <w:pStyle w:val="Compact"/>
              <w:jc w:val="left"/>
            </w:pPr>
            <w:r>
              <w:t xml:space="preserve">Insurance technology / newly public company watch</w:t>
            </w:r>
          </w:p>
        </w:tc>
        <w:tc>
          <w:tcPr/>
          <w:p>
            <w:pPr>
              <w:pStyle w:val="Compact"/>
              <w:jc w:val="left"/>
            </w:pPr>
            <w:r>
              <w:t xml:space="preserve">Medium</w:t>
            </w:r>
          </w:p>
        </w:tc>
        <w:tc>
          <w:tcPr/>
          <w:p>
            <w:pPr>
              <w:pStyle w:val="Compact"/>
              <w:jc w:val="left"/>
            </w:pPr>
            <w:r>
              <w:t xml:space="preserve">Track filings, revenue growth, profitability, insider activity</w:t>
            </w:r>
          </w:p>
        </w:tc>
      </w:tr>
      <w:tr>
        <w:tc>
          <w:tcPr/>
          <w:p>
            <w:pPr>
              <w:pStyle w:val="Compact"/>
              <w:jc w:val="left"/>
            </w:pPr>
            <w:r>
              <w:t xml:space="preserve">WQTM</w:t>
            </w:r>
          </w:p>
        </w:tc>
        <w:tc>
          <w:tcPr/>
          <w:p>
            <w:pPr>
              <w:pStyle w:val="Compact"/>
              <w:jc w:val="left"/>
            </w:pPr>
            <w:r>
              <w:t xml:space="preserve">WisdomTree Quantum Computing Fund</w:t>
            </w:r>
          </w:p>
        </w:tc>
        <w:tc>
          <w:tcPr/>
          <w:p>
            <w:pPr>
              <w:pStyle w:val="Compact"/>
              <w:jc w:val="left"/>
            </w:pPr>
            <w:r>
              <w:t xml:space="preserve">Quantum ETF</w:t>
            </w:r>
          </w:p>
        </w:tc>
        <w:tc>
          <w:tcPr/>
          <w:p>
            <w:pPr>
              <w:pStyle w:val="Compact"/>
              <w:jc w:val="left"/>
            </w:pPr>
            <w:r>
              <w:t xml:space="preserve">Sector basket / quantum theme watch</w:t>
            </w:r>
          </w:p>
        </w:tc>
        <w:tc>
          <w:tcPr/>
          <w:p>
            <w:pPr>
              <w:pStyle w:val="Compact"/>
              <w:jc w:val="left"/>
            </w:pPr>
            <w:r>
              <w:t xml:space="preserve">Hold</w:t>
            </w:r>
          </w:p>
        </w:tc>
        <w:tc>
          <w:tcPr/>
          <w:p>
            <w:pPr>
              <w:pStyle w:val="Compact"/>
              <w:jc w:val="left"/>
            </w:pPr>
            <w:r>
              <w:t xml:space="preserve">ETF, not operating company; analyze holdings and sector movement, not company filings</w:t>
            </w:r>
          </w:p>
        </w:tc>
      </w:tr>
      <w:tr>
        <w:tc>
          <w:tcPr/>
          <w:p>
            <w:pPr>
              <w:pStyle w:val="Compact"/>
              <w:jc w:val="left"/>
            </w:pPr>
            <w:r>
              <w:t xml:space="preserve">CJMB</w:t>
            </w:r>
          </w:p>
        </w:tc>
        <w:tc>
          <w:tcPr/>
          <w:p>
            <w:pPr>
              <w:pStyle w:val="Compact"/>
              <w:jc w:val="left"/>
            </w:pPr>
            <w:r>
              <w:t xml:space="preserve">Callan JMB Inc.</w:t>
            </w:r>
          </w:p>
        </w:tc>
        <w:tc>
          <w:tcPr/>
          <w:p>
            <w:pPr>
              <w:pStyle w:val="Compact"/>
              <w:jc w:val="left"/>
            </w:pPr>
            <w:r>
              <w:t xml:space="preserve">Cold chain / emergency logistics</w:t>
            </w:r>
          </w:p>
        </w:tc>
        <w:tc>
          <w:tcPr/>
          <w:p>
            <w:pPr>
              <w:pStyle w:val="Compact"/>
              <w:jc w:val="left"/>
            </w:pPr>
            <w:r>
              <w:t xml:space="preserve">Healthcare logistics, vaccine storage, emergency preparedness, specialty packaging, regulated operations</w:t>
            </w:r>
          </w:p>
        </w:tc>
        <w:tc>
          <w:tcPr/>
          <w:p>
            <w:pPr>
              <w:pStyle w:val="Compact"/>
              <w:jc w:val="left"/>
            </w:pPr>
            <w:r>
              <w:t xml:space="preserve">High-risk watch</w:t>
            </w:r>
          </w:p>
        </w:tc>
        <w:tc>
          <w:tcPr/>
          <w:p>
            <w:pPr>
              <w:pStyle w:val="Compact"/>
              <w:jc w:val="left"/>
            </w:pPr>
            <w:r>
              <w:t xml:space="preserve">Track Nasdaq compliance, reverse split risk, dilution, government contracts, customer concentration, 10-Q cash burn, going-concern language</w:t>
            </w:r>
          </w:p>
        </w:tc>
      </w:tr>
      <w:tr>
        <w:tc>
          <w:tcPr/>
          <w:p>
            <w:pPr>
              <w:pStyle w:val="Compact"/>
              <w:jc w:val="left"/>
            </w:pPr>
            <w:r>
              <w:t xml:space="preserve">CRCL</w:t>
            </w:r>
          </w:p>
        </w:tc>
        <w:tc>
          <w:tcPr/>
          <w:p>
            <w:pPr>
              <w:pStyle w:val="Compact"/>
              <w:jc w:val="left"/>
            </w:pPr>
            <w:r>
              <w:t xml:space="preserve">Circle Internet Group, Inc.</w:t>
            </w:r>
          </w:p>
        </w:tc>
        <w:tc>
          <w:tcPr/>
          <w:p>
            <w:pPr>
              <w:pStyle w:val="Compact"/>
              <w:jc w:val="left"/>
            </w:pPr>
            <w:r>
              <w:t xml:space="preserve">Stablecoin / fintech infrastructure</w:t>
            </w:r>
          </w:p>
        </w:tc>
        <w:tc>
          <w:tcPr/>
          <w:p>
            <w:pPr>
              <w:pStyle w:val="Compact"/>
              <w:jc w:val="left"/>
            </w:pPr>
            <w:r>
              <w:t xml:space="preserve">USDC, digital payments, regulated crypto settlement, reserve infrastructure, trust-bank development</w:t>
            </w:r>
          </w:p>
        </w:tc>
        <w:tc>
          <w:tcPr/>
          <w:p>
            <w:pPr>
              <w:pStyle w:val="Compact"/>
              <w:jc w:val="left"/>
            </w:pPr>
            <w:r>
              <w:t xml:space="preserve">High</w:t>
            </w:r>
          </w:p>
        </w:tc>
        <w:tc>
          <w:tcPr/>
          <w:p>
            <w:pPr>
              <w:pStyle w:val="Compact"/>
              <w:jc w:val="left"/>
            </w:pPr>
            <w:r>
              <w:t xml:space="preserve">Track 10-Q/10-K updates, Form 4/Form 144 insider activity, USDC circulation, reserve income, regulation, competition, Arc blockchain execution, valuation risk</w:t>
            </w:r>
          </w:p>
        </w:tc>
      </w:tr>
      <w:tr>
        <w:tc>
          <w:tcPr/>
          <w:p>
            <w:pPr>
              <w:pStyle w:val="Compact"/>
              <w:jc w:val="left"/>
            </w:pPr>
            <w:r>
              <w:t xml:space="preserve">CRSP</w:t>
            </w:r>
          </w:p>
        </w:tc>
        <w:tc>
          <w:tcPr/>
          <w:p>
            <w:pPr>
              <w:pStyle w:val="Compact"/>
              <w:jc w:val="left"/>
            </w:pPr>
            <w:r>
              <w:t xml:space="preserve">CRISPR Therapeutics AG</w:t>
            </w:r>
          </w:p>
        </w:tc>
        <w:tc>
          <w:tcPr/>
          <w:p>
            <w:pPr>
              <w:pStyle w:val="Compact"/>
              <w:jc w:val="left"/>
            </w:pPr>
            <w:r>
              <w:t xml:space="preserve">Gene editing / biotech</w:t>
            </w:r>
          </w:p>
        </w:tc>
        <w:tc>
          <w:tcPr/>
          <w:p>
            <w:pPr>
              <w:pStyle w:val="Compact"/>
              <w:jc w:val="left"/>
            </w:pPr>
            <w:r>
              <w:t xml:space="preserve">CASGEVY commercialization, CRISPR/Cas9 platform, gene-editing pipeline, regulated medicine infrastructure</w:t>
            </w:r>
          </w:p>
        </w:tc>
        <w:tc>
          <w:tcPr/>
          <w:p>
            <w:pPr>
              <w:pStyle w:val="Compact"/>
              <w:jc w:val="left"/>
            </w:pPr>
            <w:r>
              <w:t xml:space="preserve">High</w:t>
            </w:r>
          </w:p>
        </w:tc>
        <w:tc>
          <w:tcPr/>
          <w:p>
            <w:pPr>
              <w:pStyle w:val="Compact"/>
              <w:jc w:val="left"/>
            </w:pPr>
            <w:r>
              <w:t xml:space="preserve">Track CASGEVY revenue and patient starts, Vertex economics, cash burn, clinical trial results, safety/regulatory updates, dilution, and pipeline progress</w:t>
            </w:r>
          </w:p>
        </w:tc>
      </w:tr>
      <w:tr>
        <w:tc>
          <w:tcPr/>
          <w:p>
            <w:pPr>
              <w:pStyle w:val="Compact"/>
              <w:jc w:val="left"/>
            </w:pPr>
            <w:r>
              <w:t xml:space="preserve">CYRX</w:t>
            </w:r>
          </w:p>
        </w:tc>
        <w:tc>
          <w:tcPr/>
          <w:p>
            <w:pPr>
              <w:pStyle w:val="Compact"/>
              <w:jc w:val="left"/>
            </w:pPr>
            <w:r>
              <w:t xml:space="preserve">Cryoport, Inc.</w:t>
            </w:r>
          </w:p>
        </w:tc>
        <w:tc>
          <w:tcPr/>
          <w:p>
            <w:pPr>
              <w:pStyle w:val="Compact"/>
              <w:jc w:val="left"/>
            </w:pPr>
            <w:r>
              <w:t xml:space="preserve">Cold chain / life-sciences logistics</w:t>
            </w:r>
          </w:p>
        </w:tc>
        <w:tc>
          <w:tcPr/>
          <w:p>
            <w:pPr>
              <w:pStyle w:val="Compact"/>
              <w:jc w:val="left"/>
            </w:pPr>
            <w:r>
              <w:t xml:space="preserve">Temperature-controlled supply chain, cell and gene therapy logistics, clinical-trial support, specialty packaging, life-sciences infrastructure</w:t>
            </w:r>
          </w:p>
        </w:tc>
        <w:tc>
          <w:tcPr/>
          <w:p>
            <w:pPr>
              <w:pStyle w:val="Compact"/>
              <w:jc w:val="left"/>
            </w:pPr>
            <w:r>
              <w:t xml:space="preserve">High</w:t>
            </w:r>
          </w:p>
        </w:tc>
        <w:tc>
          <w:tcPr/>
          <w:p>
            <w:pPr>
              <w:pStyle w:val="Compact"/>
              <w:jc w:val="left"/>
            </w:pPr>
            <w:r>
              <w:t xml:space="preserve">Track Q2 2026 results, full-year guidance, gross margin, operating cash flow, cash balance, trial count, commercial therapy count, DHL partnership, dilution or buybacks, and biotech funding demand</w:t>
            </w:r>
          </w:p>
        </w:tc>
      </w:tr>
      <w:tr>
        <w:tc>
          <w:tcPr/>
          <w:p>
            <w:pPr>
              <w:pStyle w:val="Compact"/>
              <w:jc w:val="left"/>
            </w:pPr>
            <w:r>
              <w:t xml:space="preserve">H</w:t>
            </w:r>
          </w:p>
        </w:tc>
        <w:tc>
          <w:tcPr/>
          <w:p>
            <w:pPr>
              <w:pStyle w:val="Compact"/>
              <w:jc w:val="left"/>
            </w:pPr>
            <w:r>
              <w:t xml:space="preserve">Hyatt Hotels Corporation</w:t>
            </w:r>
          </w:p>
        </w:tc>
        <w:tc>
          <w:tcPr/>
          <w:p>
            <w:pPr>
              <w:pStyle w:val="Compact"/>
              <w:jc w:val="left"/>
            </w:pPr>
            <w:r>
              <w:t xml:space="preserve">Hospitality / travel infrastructure</w:t>
            </w:r>
          </w:p>
        </w:tc>
        <w:tc>
          <w:tcPr/>
          <w:p>
            <w:pPr>
              <w:pStyle w:val="Compact"/>
              <w:jc w:val="left"/>
            </w:pPr>
            <w:r>
              <w:t xml:space="preserve">User works at Hyatt; hotel operations, travel demand, asset-light hotel management, brand/loyalty economics, resort and international growth</w:t>
            </w:r>
          </w:p>
        </w:tc>
        <w:tc>
          <w:tcPr/>
          <w:p>
            <w:pPr>
              <w:pStyle w:val="Compact"/>
              <w:jc w:val="left"/>
            </w:pPr>
            <w:r>
              <w:t xml:space="preserve">Medium-High</w:t>
            </w:r>
          </w:p>
        </w:tc>
        <w:tc>
          <w:tcPr/>
          <w:p>
            <w:pPr>
              <w:pStyle w:val="Compact"/>
              <w:jc w:val="left"/>
            </w:pPr>
            <w:r>
              <w:t xml:space="preserve">Track RevPAR, management/franchise fees, owned vs managed mix, debt, buybacks, Playa integration, development pipeline, travel-cycle risk, and insider activity; do not trade on non-public workplace information</w:t>
            </w:r>
          </w:p>
        </w:tc>
      </w:tr>
      <w:tr>
        <w:tc>
          <w:tcPr/>
          <w:p>
            <w:pPr>
              <w:pStyle w:val="Compact"/>
              <w:jc w:val="left"/>
            </w:pPr>
            <w:r>
              <w:t xml:space="preserve">IBM</w:t>
            </w:r>
          </w:p>
        </w:tc>
        <w:tc>
          <w:tcPr/>
          <w:p>
            <w:pPr>
              <w:pStyle w:val="Compact"/>
              <w:jc w:val="left"/>
            </w:pPr>
            <w:r>
              <w:t xml:space="preserve">International Business Machines Corporation</w:t>
            </w:r>
          </w:p>
        </w:tc>
        <w:tc>
          <w:tcPr/>
          <w:p>
            <w:pPr>
              <w:pStyle w:val="Compact"/>
              <w:jc w:val="left"/>
            </w:pPr>
            <w:r>
              <w:t xml:space="preserve">Enterprise AI / hybrid cloud / quantum</w:t>
            </w:r>
          </w:p>
        </w:tc>
        <w:tc>
          <w:tcPr/>
          <w:p>
            <w:pPr>
              <w:pStyle w:val="Compact"/>
              <w:jc w:val="left"/>
            </w:pPr>
            <w:r>
              <w:t xml:space="preserve">Red Hat, watsonx, enterprise AI governance, mainframe infrastructure, quantum research, automation, and dividend tech exposure</w:t>
            </w:r>
          </w:p>
        </w:tc>
        <w:tc>
          <w:tcPr/>
          <w:p>
            <w:pPr>
              <w:pStyle w:val="Compact"/>
              <w:jc w:val="left"/>
            </w:pPr>
            <w:r>
              <w:t xml:space="preserve">Medium-High</w:t>
            </w:r>
          </w:p>
        </w:tc>
        <w:tc>
          <w:tcPr/>
          <w:p>
            <w:pPr>
              <w:pStyle w:val="Compact"/>
              <w:jc w:val="left"/>
            </w:pPr>
            <w:r>
              <w:t xml:space="preserve">Track software growth, Red Hat growth, free cash flow, debt, dividend coverage, consulting demand, AI revenue quality, quantum milestones, and mainframe cycle</w:t>
            </w:r>
          </w:p>
        </w:tc>
      </w:tr>
      <w:tr>
        <w:tc>
          <w:tcPr/>
          <w:p>
            <w:pPr>
              <w:pStyle w:val="Compact"/>
              <w:jc w:val="left"/>
            </w:pPr>
            <w:r>
              <w:t xml:space="preserve">INTC</w:t>
            </w:r>
          </w:p>
        </w:tc>
        <w:tc>
          <w:tcPr/>
          <w:p>
            <w:pPr>
              <w:pStyle w:val="Compact"/>
              <w:jc w:val="left"/>
            </w:pPr>
            <w:r>
              <w:t xml:space="preserve">Intel Corporation</w:t>
            </w:r>
          </w:p>
        </w:tc>
        <w:tc>
          <w:tcPr/>
          <w:p>
            <w:pPr>
              <w:pStyle w:val="Compact"/>
              <w:jc w:val="left"/>
            </w:pPr>
            <w:r>
              <w:t xml:space="preserve">Semiconductors / AI infrastructure / foundry</w:t>
            </w:r>
          </w:p>
        </w:tc>
        <w:tc>
          <w:tcPr/>
          <w:p>
            <w:pPr>
              <w:pStyle w:val="Compact"/>
              <w:jc w:val="left"/>
            </w:pPr>
            <w:r>
              <w:t xml:space="preserve">U.S. chip manufacturing, AI server infrastructure, Intel Foundry, advanced packaging, CHIPS Act exposure, PC/server cycle, and turnaround execution</w:t>
            </w:r>
          </w:p>
        </w:tc>
        <w:tc>
          <w:tcPr/>
          <w:p>
            <w:pPr>
              <w:pStyle w:val="Compact"/>
              <w:jc w:val="left"/>
            </w:pPr>
            <w:r>
              <w:t xml:space="preserve">High</w:t>
            </w:r>
          </w:p>
        </w:tc>
        <w:tc>
          <w:tcPr/>
          <w:p>
            <w:pPr>
              <w:pStyle w:val="Compact"/>
              <w:jc w:val="left"/>
            </w:pPr>
            <w:r>
              <w:t xml:space="preserve">Track 18A/18A-P progress, external foundry customers, advanced packaging wins, data-center revenue, gross margin, free cash flow, capex discipline, AMD/Nvidia/TSMC competition, and policy support</w:t>
            </w:r>
          </w:p>
        </w:tc>
      </w:tr>
      <w:tr>
        <w:tc>
          <w:tcPr/>
          <w:p>
            <w:pPr>
              <w:pStyle w:val="Compact"/>
              <w:jc w:val="left"/>
            </w:pPr>
            <w:r>
              <w:t xml:space="preserve">IPGP</w:t>
            </w:r>
          </w:p>
        </w:tc>
        <w:tc>
          <w:tcPr/>
          <w:p>
            <w:pPr>
              <w:pStyle w:val="Compact"/>
              <w:jc w:val="left"/>
            </w:pPr>
            <w:r>
              <w:t xml:space="preserve">IPG Photonics Corporation</w:t>
            </w:r>
          </w:p>
        </w:tc>
        <w:tc>
          <w:tcPr/>
          <w:p>
            <w:pPr>
              <w:pStyle w:val="Compact"/>
              <w:jc w:val="left"/>
            </w:pPr>
            <w:r>
              <w:t xml:space="preserve">Industrial photonics / advanced manufacturing</w:t>
            </w:r>
          </w:p>
        </w:tc>
        <w:tc>
          <w:tcPr/>
          <w:p>
            <w:pPr>
              <w:pStyle w:val="Compact"/>
              <w:jc w:val="left"/>
            </w:pPr>
            <w:r>
              <w:t xml:space="preserve">Fiber lasers, industrial laser systems, precision manufacturing, automation, semiconductor/medical/defense exposure, and optical components</w:t>
            </w:r>
          </w:p>
        </w:tc>
        <w:tc>
          <w:tcPr/>
          <w:p>
            <w:pPr>
              <w:pStyle w:val="Compact"/>
              <w:jc w:val="left"/>
            </w:pPr>
            <w:r>
              <w:t xml:space="preserve">Medium-High</w:t>
            </w:r>
          </w:p>
        </w:tc>
        <w:tc>
          <w:tcPr/>
          <w:p>
            <w:pPr>
              <w:pStyle w:val="Compact"/>
              <w:jc w:val="left"/>
            </w:pPr>
            <w:r>
              <w:t xml:space="preserve">Track revenue recovery, gross margin, industrial demand, China exposure, bookings, free cash flow, insider 10b5-1 plans, competition, and emerging-growth product expansion</w:t>
            </w:r>
          </w:p>
        </w:tc>
      </w:tr>
      <w:tr>
        <w:tc>
          <w:tcPr/>
          <w:p>
            <w:pPr>
              <w:pStyle w:val="Compact"/>
              <w:jc w:val="left"/>
            </w:pPr>
            <w:r>
              <w:t xml:space="preserve">IYW</w:t>
            </w:r>
          </w:p>
        </w:tc>
        <w:tc>
          <w:tcPr/>
          <w:p>
            <w:pPr>
              <w:pStyle w:val="Compact"/>
              <w:jc w:val="left"/>
            </w:pPr>
            <w:r>
              <w:t xml:space="preserve">iShares U.S. Technology ETF</w:t>
            </w:r>
          </w:p>
        </w:tc>
        <w:tc>
          <w:tcPr/>
          <w:p>
            <w:pPr>
              <w:pStyle w:val="Compact"/>
              <w:jc w:val="left"/>
            </w:pPr>
            <w:r>
              <w:t xml:space="preserve">U.S. technology ETF</w:t>
            </w:r>
          </w:p>
        </w:tc>
        <w:tc>
          <w:tcPr/>
          <w:p>
            <w:pPr>
              <w:pStyle w:val="Compact"/>
              <w:jc w:val="left"/>
            </w:pPr>
            <w:r>
              <w:t xml:space="preserve">Broad U.S. tech-sector basket for comparing individual AI, software, semiconductor, and infrastructure names</w:t>
            </w:r>
          </w:p>
        </w:tc>
        <w:tc>
          <w:tcPr/>
          <w:p>
            <w:pPr>
              <w:pStyle w:val="Compact"/>
              <w:jc w:val="left"/>
            </w:pPr>
            <w:r>
              <w:t xml:space="preserve">Hold</w:t>
            </w:r>
          </w:p>
        </w:tc>
        <w:tc>
          <w:tcPr/>
          <w:p>
            <w:pPr>
              <w:pStyle w:val="Compact"/>
              <w:jc w:val="left"/>
            </w:pPr>
            <w:r>
              <w:t xml:space="preserve">ETF, not operating company; track top holdings, concentration, expense ratio, AI/semiconductor exposure, overlap with QQQ/VGT/XLK/401(k) funds, and sector drawdown risk</w:t>
            </w:r>
          </w:p>
        </w:tc>
      </w:tr>
      <w:tr>
        <w:tc>
          <w:tcPr/>
          <w:p>
            <w:pPr>
              <w:pStyle w:val="Compact"/>
              <w:jc w:val="left"/>
            </w:pPr>
            <w:r>
              <w:t xml:space="preserve">SOXX</w:t>
            </w:r>
          </w:p>
        </w:tc>
        <w:tc>
          <w:tcPr/>
          <w:p>
            <w:pPr>
              <w:pStyle w:val="Compact"/>
              <w:jc w:val="left"/>
            </w:pPr>
            <w:r>
              <w:t xml:space="preserve">iShares Semiconductor ETF</w:t>
            </w:r>
          </w:p>
        </w:tc>
        <w:tc>
          <w:tcPr/>
          <w:p>
            <w:pPr>
              <w:pStyle w:val="Compact"/>
              <w:jc w:val="left"/>
            </w:pPr>
            <w:r>
              <w:t xml:space="preserve">Semiconductors (ETF)</w:t>
            </w:r>
          </w:p>
        </w:tc>
        <w:tc>
          <w:tcPr/>
          <w:p>
            <w:pPr>
              <w:pStyle w:val="Compact"/>
              <w:jc w:val="left"/>
            </w:pPr>
            <w:r>
              <w:t xml:space="preserve">Diversified AI and semiconductor exposure across the whole chip value chain — logic, equipment and memory — and a benchmark for the individual semi names tracked here</w:t>
            </w:r>
          </w:p>
        </w:tc>
        <w:tc>
          <w:tcPr/>
          <w:p>
            <w:pPr>
              <w:pStyle w:val="Compact"/>
              <w:jc w:val="left"/>
            </w:pPr>
            <w:r>
              <w:t xml:space="preserve">Hold</w:t>
            </w:r>
          </w:p>
        </w:tc>
        <w:tc>
          <w:tcPr/>
          <w:p>
            <w:pPr>
              <w:pStyle w:val="Compact"/>
              <w:jc w:val="left"/>
            </w:pPr>
            <w:r>
              <w:t xml:space="preserve">ETF, not a single filer: track fund flows, holdings rotation across AMD/NVDA/AVGO/MU, AI capex trends and sector drawdown rather than 8-K/10-Q filings. Overlaps the memory lane through its MU weight and the AI lane through NVDA, so read it as the benchmark those positions are measured against, not as separate exposure</w:t>
            </w:r>
          </w:p>
        </w:tc>
      </w:tr>
      <w:tr>
        <w:tc>
          <w:tcPr/>
          <w:p>
            <w:pPr>
              <w:pStyle w:val="Compact"/>
              <w:jc w:val="left"/>
            </w:pPr>
            <w:r>
              <w:t xml:space="preserve">KTOS</w:t>
            </w:r>
          </w:p>
        </w:tc>
        <w:tc>
          <w:tcPr/>
          <w:p>
            <w:pPr>
              <w:pStyle w:val="Compact"/>
              <w:jc w:val="left"/>
            </w:pPr>
            <w:r>
              <w:t xml:space="preserve">Kratos Defense &amp; Security Solutions, Inc.</w:t>
            </w:r>
          </w:p>
        </w:tc>
        <w:tc>
          <w:tcPr/>
          <w:p>
            <w:pPr>
              <w:pStyle w:val="Compact"/>
              <w:jc w:val="left"/>
            </w:pPr>
            <w:r>
              <w:t xml:space="preserve">Defense technology / drones / space systems</w:t>
            </w:r>
          </w:p>
        </w:tc>
        <w:tc>
          <w:tcPr/>
          <w:p>
            <w:pPr>
              <w:pStyle w:val="Compact"/>
              <w:jc w:val="left"/>
            </w:pPr>
            <w:r>
              <w:t xml:space="preserve">Jet-powered unmanned systems, hypersonics, rocket systems, satellite ground systems, C5ISR, microwave electronics, missile defense, counter-UAS, and national-security infrastructure</w:t>
            </w:r>
          </w:p>
        </w:tc>
        <w:tc>
          <w:tcPr/>
          <w:p>
            <w:pPr>
              <w:pStyle w:val="Compact"/>
              <w:jc w:val="left"/>
            </w:pPr>
            <w:r>
              <w:t xml:space="preserve">High</w:t>
            </w:r>
          </w:p>
        </w:tc>
        <w:tc>
          <w:tcPr/>
          <w:p>
            <w:pPr>
              <w:pStyle w:val="Compact"/>
              <w:jc w:val="left"/>
            </w:pPr>
            <w:r>
              <w:t xml:space="preserve">Track backlog/book-to-bill, drone production scaling, contract awards, defense budget exposure, margins, free cash flow, R&amp;D spend, stock compensation, dilution, and valuation risk</w:t>
            </w:r>
          </w:p>
        </w:tc>
      </w:tr>
      <w:tr>
        <w:tc>
          <w:tcPr/>
          <w:p>
            <w:pPr>
              <w:pStyle w:val="Compact"/>
              <w:jc w:val="left"/>
            </w:pPr>
            <w:r>
              <w:t xml:space="preserve">NVO</w:t>
            </w:r>
          </w:p>
        </w:tc>
        <w:tc>
          <w:tcPr/>
          <w:p>
            <w:pPr>
              <w:pStyle w:val="Compact"/>
              <w:jc w:val="left"/>
            </w:pPr>
            <w:r>
              <w:t xml:space="preserve">Novo Nordisk A/S</w:t>
            </w:r>
          </w:p>
        </w:tc>
        <w:tc>
          <w:tcPr/>
          <w:p>
            <w:pPr>
              <w:pStyle w:val="Compact"/>
              <w:jc w:val="left"/>
            </w:pPr>
            <w:r>
              <w:t xml:space="preserve">Pharma / obesity care / diabetes / GLP-1 medicine</w:t>
            </w:r>
          </w:p>
        </w:tc>
        <w:tc>
          <w:tcPr/>
          <w:p>
            <w:pPr>
              <w:pStyle w:val="Compact"/>
              <w:jc w:val="left"/>
            </w:pPr>
            <w:r>
              <w:t xml:space="preserve">Ozempic, Wegovy, oral Wegovy, higher-dose Wegovy, diabetes and obesity care, regulated medicine infrastructure, cold-chain demand, and global metabolic-health market</w:t>
            </w:r>
          </w:p>
        </w:tc>
        <w:tc>
          <w:tcPr/>
          <w:p>
            <w:pPr>
              <w:pStyle w:val="Compact"/>
              <w:jc w:val="left"/>
            </w:pPr>
            <w:r>
              <w:t xml:space="preserve">High</w:t>
            </w:r>
          </w:p>
        </w:tc>
        <w:tc>
          <w:tcPr/>
          <w:p>
            <w:pPr>
              <w:pStyle w:val="Compact"/>
              <w:jc w:val="left"/>
            </w:pPr>
            <w:r>
              <w:t xml:space="preserve">Track Wegovy/Ozempic sales, GLP-1 market share, Lilly competition, oral obesity medicine adoption, pricing/reimbursement pressure, supply capacity, pipeline data, FDA/regulatory updates, litigation, margins, and currency effects</w:t>
            </w:r>
          </w:p>
        </w:tc>
      </w:tr>
      <w:tr>
        <w:tc>
          <w:tcPr/>
          <w:p>
            <w:pPr>
              <w:pStyle w:val="Compact"/>
              <w:jc w:val="left"/>
            </w:pPr>
            <w:r>
              <w:t xml:space="preserve">OKLO</w:t>
            </w:r>
          </w:p>
        </w:tc>
        <w:tc>
          <w:tcPr/>
          <w:p>
            <w:pPr>
              <w:pStyle w:val="Compact"/>
              <w:jc w:val="left"/>
            </w:pPr>
            <w:r>
              <w:t xml:space="preserve">Oklo Inc.</w:t>
            </w:r>
          </w:p>
        </w:tc>
        <w:tc>
          <w:tcPr/>
          <w:p>
            <w:pPr>
              <w:pStyle w:val="Compact"/>
              <w:jc w:val="left"/>
            </w:pPr>
            <w:r>
              <w:t xml:space="preserve">Advanced nuclear / AI power infrastructure</w:t>
            </w:r>
          </w:p>
        </w:tc>
        <w:tc>
          <w:tcPr/>
          <w:p>
            <w:pPr>
              <w:pStyle w:val="Compact"/>
              <w:jc w:val="left"/>
            </w:pPr>
            <w:r>
              <w:t xml:space="preserve">Fast-fission power plants, Aurora powerhouse, nuclear fuel recycling, isotope production, DOE Reactor Pilot Program, AI data-center power demand, and U.S. energy security</w:t>
            </w:r>
          </w:p>
        </w:tc>
        <w:tc>
          <w:tcPr/>
          <w:p>
            <w:pPr>
              <w:pStyle w:val="Compact"/>
              <w:jc w:val="left"/>
            </w:pPr>
            <w:r>
              <w:t xml:space="preserve">High-risk watch</w:t>
            </w:r>
          </w:p>
        </w:tc>
        <w:tc>
          <w:tcPr/>
          <w:p>
            <w:pPr>
              <w:pStyle w:val="Compact"/>
              <w:jc w:val="left"/>
            </w:pPr>
            <w:r>
              <w:t xml:space="preserve">Track DOE/NRC authorization steps, Aurora-INL milestones, fuel supply, construction progress, cash burn, dilution, customer power agreements, data-center demand, policy support, permitting risk, and whether first power is actually delivered</w:t>
            </w:r>
          </w:p>
        </w:tc>
      </w:tr>
      <w:tr>
        <w:tc>
          <w:tcPr/>
          <w:p>
            <w:pPr>
              <w:pStyle w:val="Compact"/>
              <w:jc w:val="left"/>
            </w:pPr>
            <w:r>
              <w:t xml:space="preserve">RGTI</w:t>
            </w:r>
          </w:p>
        </w:tc>
        <w:tc>
          <w:tcPr/>
          <w:p>
            <w:pPr>
              <w:pStyle w:val="Compact"/>
              <w:jc w:val="left"/>
            </w:pPr>
            <w:r>
              <w:t xml:space="preserve">Rigetti Computing, Inc.</w:t>
            </w:r>
          </w:p>
        </w:tc>
        <w:tc>
          <w:tcPr/>
          <w:p>
            <w:pPr>
              <w:pStyle w:val="Compact"/>
              <w:jc w:val="left"/>
            </w:pPr>
            <w:r>
              <w:t xml:space="preserve">Quantum computing / superconducting qubits</w:t>
            </w:r>
          </w:p>
        </w:tc>
        <w:tc>
          <w:tcPr/>
          <w:p>
            <w:pPr>
              <w:pStyle w:val="Compact"/>
              <w:jc w:val="left"/>
            </w:pPr>
            <w:r>
              <w:t xml:space="preserve">Full-stack quantum computing, superconducting quantum processors, quantum cloud services, and founder-linked private company Sygaldry Technologies as an adjacent private quantum-AI signal</w:t>
            </w:r>
          </w:p>
        </w:tc>
        <w:tc>
          <w:tcPr/>
          <w:p>
            <w:pPr>
              <w:pStyle w:val="Compact"/>
              <w:jc w:val="left"/>
            </w:pPr>
            <w:r>
              <w:t xml:space="preserve">High-risk watch</w:t>
            </w:r>
          </w:p>
        </w:tc>
        <w:tc>
          <w:tcPr/>
          <w:p>
            <w:pPr>
              <w:pStyle w:val="Compact"/>
              <w:jc w:val="left"/>
            </w:pPr>
            <w:r>
              <w:t xml:space="preserve">Track cash runway, dilution, revenue quality, system roadmap, qubit fidelity, customer traction, government contracts, technical milestones, quantum-sector hype risk, and Sygaldry developments</w:t>
            </w:r>
          </w:p>
        </w:tc>
      </w:tr>
      <w:tr>
        <w:tc>
          <w:tcPr/>
          <w:p>
            <w:pPr>
              <w:pStyle w:val="Compact"/>
              <w:jc w:val="left"/>
            </w:pPr>
            <w:r>
              <w:t xml:space="preserve">QBTS</w:t>
            </w:r>
          </w:p>
        </w:tc>
        <w:tc>
          <w:tcPr/>
          <w:p>
            <w:pPr>
              <w:pStyle w:val="Compact"/>
              <w:jc w:val="left"/>
            </w:pPr>
            <w:r>
              <w:t xml:space="preserve">D-Wave Quantum Inc.</w:t>
            </w:r>
          </w:p>
        </w:tc>
        <w:tc>
          <w:tcPr/>
          <w:p>
            <w:pPr>
              <w:pStyle w:val="Compact"/>
              <w:jc w:val="left"/>
            </w:pPr>
            <w:r>
              <w:t xml:space="preserve">Quantum technology</w:t>
            </w:r>
          </w:p>
        </w:tc>
        <w:tc>
          <w:tcPr/>
          <w:p>
            <w:pPr>
              <w:pStyle w:val="Compact"/>
              <w:jc w:val="left"/>
            </w:pPr>
            <w:r>
              <w:t xml:space="preserve">Quantum infrastructure / heavy dilution and cash-burn watch</w:t>
            </w:r>
          </w:p>
        </w:tc>
        <w:tc>
          <w:tcPr/>
          <w:p>
            <w:pPr>
              <w:pStyle w:val="Compact"/>
              <w:jc w:val="left"/>
            </w:pPr>
            <w:r>
              <w:t xml:space="preserve">High</w:t>
            </w:r>
          </w:p>
        </w:tc>
        <w:tc>
          <w:tcPr/>
          <w:p>
            <w:pPr>
              <w:pStyle w:val="Compact"/>
              <w:jc w:val="left"/>
            </w:pPr>
            <w:r>
              <w:t xml:space="preserve">Track bookings vs. revenue gap, cash runway, CHIPS Act stake, QCI acquisition integration</w:t>
            </w:r>
          </w:p>
        </w:tc>
      </w:tr>
      <w:tr>
        <w:tc>
          <w:tcPr/>
          <w:p>
            <w:pPr>
              <w:pStyle w:val="Compact"/>
              <w:jc w:val="left"/>
            </w:pPr>
            <w:r>
              <w:t xml:space="preserve">SMR</w:t>
            </w:r>
          </w:p>
        </w:tc>
        <w:tc>
          <w:tcPr/>
          <w:p>
            <w:pPr>
              <w:pStyle w:val="Compact"/>
              <w:jc w:val="left"/>
            </w:pPr>
            <w:r>
              <w:t xml:space="preserve">NuScale Power Corporation</w:t>
            </w:r>
          </w:p>
        </w:tc>
        <w:tc>
          <w:tcPr/>
          <w:p>
            <w:pPr>
              <w:pStyle w:val="Compact"/>
              <w:jc w:val="left"/>
            </w:pPr>
            <w:r>
              <w:t xml:space="preserve">Small modular reactors / AI power infrastructure</w:t>
            </w:r>
          </w:p>
        </w:tc>
        <w:tc>
          <w:tcPr/>
          <w:p>
            <w:pPr>
              <w:pStyle w:val="Compact"/>
              <w:jc w:val="left"/>
            </w:pPr>
            <w:r>
              <w:t xml:space="preserve">NRC-certified SMR technology, VOYGR/NuScale Power Module, ENTRA1/TVA planning, RoPower Romania, Framatome fuel partnership, data-center power demand, and U.S. energy security</w:t>
            </w:r>
          </w:p>
        </w:tc>
        <w:tc>
          <w:tcPr/>
          <w:p>
            <w:pPr>
              <w:pStyle w:val="Compact"/>
              <w:jc w:val="left"/>
            </w:pPr>
            <w:r>
              <w:t xml:space="preserve">High-risk watch</w:t>
            </w:r>
          </w:p>
        </w:tc>
        <w:tc>
          <w:tcPr/>
          <w:p>
            <w:pPr>
              <w:pStyle w:val="Compact"/>
              <w:jc w:val="left"/>
            </w:pPr>
            <w:r>
              <w:t xml:space="preserve">Track binding customer contracts, NRC/regulatory progress, TVA/ENTRA1 milestones, RoPower Romania, manufacturing readiness, fuel supply, construction cost, cash runway, dilution, project cancellations, electricity-cost competitiveness, and proof of commercial deployment</w:t>
            </w:r>
          </w:p>
        </w:tc>
      </w:tr>
      <w:tr>
        <w:tc>
          <w:tcPr/>
          <w:p>
            <w:pPr>
              <w:pStyle w:val="Compact"/>
              <w:jc w:val="left"/>
            </w:pPr>
            <w:r>
              <w:t xml:space="preserve">COHR</w:t>
            </w:r>
          </w:p>
        </w:tc>
        <w:tc>
          <w:tcPr/>
          <w:p>
            <w:pPr>
              <w:pStyle w:val="Compact"/>
              <w:jc w:val="left"/>
            </w:pPr>
            <w:r>
              <w:t xml:space="preserve">Coherent Corp</w:t>
            </w:r>
          </w:p>
        </w:tc>
        <w:tc>
          <w:tcPr/>
          <w:p>
            <w:pPr>
              <w:pStyle w:val="Compact"/>
              <w:jc w:val="left"/>
            </w:pPr>
            <w:r>
              <w:t xml:space="preserve">Optical components / AI photonics</w:t>
            </w:r>
          </w:p>
        </w:tc>
        <w:tc>
          <w:tcPr/>
          <w:p>
            <w:pPr>
              <w:pStyle w:val="Compact"/>
              <w:jc w:val="left"/>
            </w:pPr>
            <w:r>
              <w:t xml:space="preserve">High-speed optical transceivers, lasers, silicon photonics, AI data-center interconnects, NVIDIA partnership, 400G/800G/1.6T transceiver supply chain</w:t>
            </w:r>
          </w:p>
        </w:tc>
        <w:tc>
          <w:tcPr/>
          <w:p>
            <w:pPr>
              <w:pStyle w:val="Compact"/>
              <w:jc w:val="left"/>
            </w:pPr>
            <w:r>
              <w:t xml:space="preserve">High</w:t>
            </w:r>
          </w:p>
        </w:tc>
        <w:tc>
          <w:tcPr/>
          <w:p>
            <w:pPr>
              <w:pStyle w:val="Compact"/>
              <w:jc w:val="left"/>
            </w:pPr>
            <w:r>
              <w:t xml:space="preserve">Track revenue from AI/datacenter segment, gross margin, backlog, NVIDIA partnership depth, silicon photonics execution, competition from Chinese suppliers, free cash flow, dilution, and valuation risk</w:t>
            </w:r>
          </w:p>
        </w:tc>
      </w:tr>
      <w:tr>
        <w:tc>
          <w:tcPr/>
          <w:p>
            <w:pPr>
              <w:pStyle w:val="Compact"/>
              <w:jc w:val="left"/>
            </w:pPr>
            <w:r>
              <w:t xml:space="preserve">LITE</w:t>
            </w:r>
          </w:p>
        </w:tc>
        <w:tc>
          <w:tcPr/>
          <w:p>
            <w:pPr>
              <w:pStyle w:val="Compact"/>
              <w:jc w:val="left"/>
            </w:pPr>
            <w:r>
              <w:t xml:space="preserve">Lumentum Holdings</w:t>
            </w:r>
          </w:p>
        </w:tc>
        <w:tc>
          <w:tcPr/>
          <w:p>
            <w:pPr>
              <w:pStyle w:val="Compact"/>
              <w:jc w:val="left"/>
            </w:pPr>
            <w:r>
              <w:t xml:space="preserve">Optical components / AI photonics</w:t>
            </w:r>
          </w:p>
        </w:tc>
        <w:tc>
          <w:tcPr/>
          <w:p>
            <w:pPr>
              <w:pStyle w:val="Compact"/>
              <w:jc w:val="left"/>
            </w:pPr>
            <w:r>
              <w:t xml:space="preserve">High-speed optical transceivers, pump lasers, optical circuit switches, AI data-center networking, mission-critical photonics for hyperscalers</w:t>
            </w:r>
          </w:p>
        </w:tc>
        <w:tc>
          <w:tcPr/>
          <w:p>
            <w:pPr>
              <w:pStyle w:val="Compact"/>
              <w:jc w:val="left"/>
            </w:pPr>
            <w:r>
              <w:t xml:space="preserve">High</w:t>
            </w:r>
          </w:p>
        </w:tc>
        <w:tc>
          <w:tcPr/>
          <w:p>
            <w:pPr>
              <w:pStyle w:val="Compact"/>
              <w:jc w:val="left"/>
            </w:pPr>
            <w:r>
              <w:t xml:space="preserve">Track datacenter segment revenue, optical circuit switch backlog, pump laser demand, gross margin, free cash flow, hyperscaler capex dependency, competition, insider activity, and valuation</w:t>
            </w:r>
          </w:p>
        </w:tc>
      </w:tr>
      <w:tr>
        <w:tc>
          <w:tcPr/>
          <w:p>
            <w:pPr>
              <w:pStyle w:val="Compact"/>
              <w:jc w:val="left"/>
            </w:pPr>
            <w:r>
              <w:t xml:space="preserve">SSNLF</w:t>
            </w:r>
          </w:p>
        </w:tc>
        <w:tc>
          <w:tcPr/>
          <w:p>
            <w:pPr>
              <w:pStyle w:val="Compact"/>
              <w:jc w:val="left"/>
            </w:pPr>
            <w:r>
              <w:t xml:space="preserve">Samsung Electronics Co., Ltd.</w:t>
            </w:r>
          </w:p>
        </w:tc>
        <w:tc>
          <w:tcPr/>
          <w:p>
            <w:pPr>
              <w:pStyle w:val="Compact"/>
              <w:jc w:val="left"/>
            </w:pPr>
            <w:r>
              <w:t xml:space="preserve">Consumer electronics / semiconductors / displays / memory</w:t>
            </w:r>
          </w:p>
        </w:tc>
        <w:tc>
          <w:tcPr/>
          <w:p>
            <w:pPr>
              <w:pStyle w:val="Compact"/>
              <w:jc w:val="left"/>
            </w:pPr>
            <w:r>
              <w:t xml:space="preserve">NAND flash, DRAM, HBM memory, Galaxy devices, semiconductor foundry, display panels, AI chip ambitions, and global electronics supply chain</w:t>
            </w:r>
          </w:p>
        </w:tc>
        <w:tc>
          <w:tcPr/>
          <w:p>
            <w:pPr>
              <w:pStyle w:val="Compact"/>
              <w:jc w:val="left"/>
            </w:pPr>
            <w:r>
              <w:t xml:space="preserve">Medium-High</w:t>
            </w:r>
          </w:p>
        </w:tc>
        <w:tc>
          <w:tcPr/>
          <w:p>
            <w:pPr>
              <w:pStyle w:val="Compact"/>
              <w:jc w:val="left"/>
            </w:pPr>
            <w:r>
              <w:t xml:space="preserve">Track HBM3E/HBM4 ramp vs SK Hynix/Micron, foundry competitiveness, NAND/DRAM pricing cycle, mobile revenue, AI chip progress, capex discipline, and geopolitical/trade risk</w:t>
            </w:r>
          </w:p>
        </w:tc>
      </w:tr>
      <w:tr>
        <w:tc>
          <w:tcPr/>
          <w:p>
            <w:pPr>
              <w:pStyle w:val="Compact"/>
              <w:jc w:val="left"/>
            </w:pPr>
            <w:r>
              <w:t xml:space="preserve">DRAM</w:t>
            </w:r>
          </w:p>
        </w:tc>
        <w:tc>
          <w:tcPr/>
          <w:p>
            <w:pPr>
              <w:pStyle w:val="Compact"/>
              <w:jc w:val="left"/>
            </w:pPr>
            <w:r>
              <w:t xml:space="preserve">Roundhill Memory ETF</w:t>
            </w:r>
          </w:p>
        </w:tc>
        <w:tc>
          <w:tcPr/>
          <w:p>
            <w:pPr>
              <w:pStyle w:val="Compact"/>
              <w:jc w:val="left"/>
            </w:pPr>
            <w:r>
              <w:t xml:space="preserve">Memory semiconductors / AI data infrastructure ETF</w:t>
            </w:r>
          </w:p>
        </w:tc>
        <w:tc>
          <w:tcPr/>
          <w:p>
            <w:pPr>
              <w:pStyle w:val="Compact"/>
              <w:jc w:val="left"/>
            </w:pPr>
            <w:r>
              <w:t xml:space="preserve">Held position; DRAM/NAND/HBM memory pricing cycle, AI data-center memory demand, and pooled exposure to Samsung, SK Hynix, Micron, CXMT and the NAND storage chain</w:t>
            </w:r>
          </w:p>
        </w:tc>
        <w:tc>
          <w:tcPr/>
          <w:p>
            <w:pPr>
              <w:pStyle w:val="Compact"/>
              <w:jc w:val="left"/>
            </w:pPr>
            <w:r>
              <w:t xml:space="preserve">High</w:t>
            </w:r>
          </w:p>
        </w:tc>
        <w:tc>
          <w:tcPr/>
          <w:p>
            <w:pPr>
              <w:pStyle w:val="Compact"/>
              <w:jc w:val="left"/>
            </w:pPr>
            <w:r>
              <w:t xml:space="preserve">Held position, so apply holding rules and not benchmark rules. Roughly 39% of exposure is synthetic through total return swaps maturing in 2027 (Micron, Samsung, SK Hynix, CXMT) against a large negative cash offset, so track swap counterparty risk and structure, not just holdings. Concentration: Samsung ~19% and SK Hynix ~15% held directly (Korea ~40% combined); Micron is mostly synthetic with only ~2.6% held directly; CXMT ~4.7% adds Chinese DRAM and export-control exposure. Expense ratio 0.65%; inception 1 Apr 2026, so there is no full memory cycle of history. Use MU large-order capital flow as the bellwether: 28 Aug 2026 showed -$1.22B net institutional outflow on a -0.27% day. Track DRAM/NAND contract pricing, HBM4 ramp, hyperscaler memory capex, Korea and China trade policy, overlap with SSNLF, and any change in swap counterparties or weights. Also track the DRAM price-fixing antitrust litigation (Garciaguirre v. Samsung), which reaches the fund’s two largest holdings directly</w:t>
            </w:r>
          </w:p>
        </w:tc>
      </w:tr>
      <w:tr>
        <w:tc>
          <w:tcPr/>
          <w:p>
            <w:pPr>
              <w:pStyle w:val="Compact"/>
              <w:jc w:val="left"/>
            </w:pPr>
            <w:r>
              <w:t xml:space="preserve">MU</w:t>
            </w:r>
          </w:p>
        </w:tc>
        <w:tc>
          <w:tcPr/>
          <w:p>
            <w:pPr>
              <w:pStyle w:val="Compact"/>
              <w:jc w:val="left"/>
            </w:pPr>
            <w:r>
              <w:t xml:space="preserve">Micron Technology, Inc.</w:t>
            </w:r>
          </w:p>
        </w:tc>
        <w:tc>
          <w:tcPr/>
          <w:p>
            <w:pPr>
              <w:pStyle w:val="Compact"/>
              <w:jc w:val="left"/>
            </w:pPr>
            <w:r>
              <w:t xml:space="preserve">Memory semiconductors / HBM / AI data infrastructure</w:t>
            </w:r>
          </w:p>
        </w:tc>
        <w:tc>
          <w:tcPr/>
          <w:p>
            <w:pPr>
              <w:pStyle w:val="Compact"/>
              <w:jc w:val="left"/>
            </w:pPr>
            <w:r>
              <w:t xml:space="preserve">Bellwether for the DRAM holding; DRAM/NAND/HBM pricing cycle, HBM3E/HBM4 ramp, AI data-center memory demand, and US-based memory manufacturing</w:t>
            </w:r>
          </w:p>
        </w:tc>
        <w:tc>
          <w:tcPr/>
          <w:p>
            <w:pPr>
              <w:pStyle w:val="Compact"/>
              <w:jc w:val="left"/>
            </w:pPr>
            <w:r>
              <w:t xml:space="preserve">High</w:t>
            </w:r>
          </w:p>
        </w:tc>
        <w:tc>
          <w:tcPr/>
          <w:p>
            <w:pPr>
              <w:pStyle w:val="Compact"/>
              <w:jc w:val="left"/>
            </w:pPr>
            <w:r>
              <w:t xml:space="preserve">Largest single exposure inside the DRAM ETF at ~23%, but held there mostly through swaps rather than shares, so this entry tracks the operating company those swaps reference. Reported FY26 P3 net margin 68.13% and ROE 32.62% on operating cash flow of $22.49/share: read that as cycle-peak profitability, not a run rate, since memory margins have not held at that level through a full cycle. Analyst mean target $1,513.41 against $932.86 (+62%), 34 strong buy and 0 sell of 47 (as of 27 Aug 2026). FY26 Q4 due 30 Sep 2026: EPS est $31.16 vs $2.83 a year prior, revenue est $50.8B vs $11.3B. Against all of that, large-order flow on 28 Aug 2026 was -$1.22B net on a -0.27% close, one session after +$1.17B in. Track contract DRAM/NAND pricing, HBM4 qualification and share against SK hynix and Samsung, capex discipline, inventory build, debt-to-assets (24.9%, improving), customer concentration, and whether institutional distribution continues while estimates keep rising</w:t>
            </w:r>
          </w:p>
        </w:tc>
      </w:tr>
      <w:tr>
        <w:tc>
          <w:tcPr/>
          <w:p>
            <w:pPr>
              <w:pStyle w:val="Compact"/>
              <w:jc w:val="left"/>
            </w:pPr>
            <w:r>
              <w:t xml:space="preserve">SKHY</w:t>
            </w:r>
          </w:p>
        </w:tc>
        <w:tc>
          <w:tcPr/>
          <w:p>
            <w:pPr>
              <w:pStyle w:val="Compact"/>
              <w:jc w:val="left"/>
            </w:pPr>
            <w:r>
              <w:t xml:space="preserve">SK hynix Inc. (ADR)</w:t>
            </w:r>
          </w:p>
        </w:tc>
        <w:tc>
          <w:tcPr/>
          <w:p>
            <w:pPr>
              <w:pStyle w:val="Compact"/>
              <w:jc w:val="left"/>
            </w:pPr>
            <w:r>
              <w:t xml:space="preserve">Memory semiconductors / HBM / AI data infrastructure</w:t>
            </w:r>
          </w:p>
        </w:tc>
        <w:tc>
          <w:tcPr/>
          <w:p>
            <w:pPr>
              <w:pStyle w:val="Compact"/>
              <w:jc w:val="left"/>
            </w:pPr>
            <w:r>
              <w:t xml:space="preserve">Second read-through for the DRAM holding; HBM leadership, DRAM/NAND supply, memory content per AI accelerator, and Korean memory manufacturing</w:t>
            </w:r>
          </w:p>
        </w:tc>
        <w:tc>
          <w:tcPr/>
          <w:p>
            <w:pPr>
              <w:pStyle w:val="Compact"/>
              <w:jc w:val="left"/>
            </w:pPr>
            <w:r>
              <w:t xml:space="preserve">High</w:t>
            </w:r>
          </w:p>
        </w:tc>
        <w:tc>
          <w:tcPr/>
          <w:p>
            <w:pPr>
              <w:pStyle w:val="Compact"/>
              <w:jc w:val="left"/>
            </w:pPr>
            <w:r>
              <w:t xml:space="preserve">This is the ADR, not the Seoul ordinary line: quoted market value is reported on total shares (~$1.17T) against roughly $28.6B of ADR float, so ADR liquidity and tracking to the home listing matter alongside fundamentals. Roughly 15% of the DRAM ETF is held directly in SK hynix, making it the fund’s largest genuinely-held position after Samsung. Trades at P/E 11.78 and P/B 7.27 on EPS TTM $13.67, materially cheaper on earnings than Micron. Analyst mean target $246.97 against $161.04 (+53%), 9 strong buy and 0 sell of 14, though only 14 analysts cover the ADR against 47 for MU. No US earnings estimate is published through the connector, so use Korean disclosure and the parent’s reporting calendar. Track HBM4 qualification and whether HBM leadership holds against Micron and Samsung, DRAM/NAND pricing, capex, Solidigm performance and any IPO, Korea trade and export policy, ADR premium or discount to Seoul, and overlap with the DRAM and SSNLF entries</w:t>
            </w:r>
          </w:p>
        </w:tc>
      </w:tr>
      <w:tr>
        <w:tc>
          <w:tcPr/>
          <w:p>
            <w:pPr>
              <w:pStyle w:val="Compact"/>
              <w:jc w:val="left"/>
            </w:pPr>
            <w:r>
              <w:t xml:space="preserve">MRVL</w:t>
            </w:r>
          </w:p>
        </w:tc>
        <w:tc>
          <w:tcPr/>
          <w:p>
            <w:pPr>
              <w:pStyle w:val="Compact"/>
              <w:jc w:val="left"/>
            </w:pPr>
            <w:r>
              <w:t xml:space="preserve">Marvell Technology, Inc.</w:t>
            </w:r>
          </w:p>
        </w:tc>
        <w:tc>
          <w:tcPr/>
          <w:p>
            <w:pPr>
              <w:pStyle w:val="Compact"/>
              <w:jc w:val="left"/>
            </w:pPr>
            <w:r>
              <w:t xml:space="preserve">Semiconductors / AI infrastructure / custom silicon</w:t>
            </w:r>
          </w:p>
        </w:tc>
        <w:tc>
          <w:tcPr/>
          <w:p>
            <w:pPr>
              <w:pStyle w:val="Compact"/>
              <w:jc w:val="left"/>
            </w:pPr>
            <w:r>
              <w:t xml:space="preserve">Data-center custom silicon, networking chips, electro-optics, AI accelerators, Google custom chip partnership, switch and DPU products, optical DSP</w:t>
            </w:r>
          </w:p>
        </w:tc>
        <w:tc>
          <w:tcPr/>
          <w:p>
            <w:pPr>
              <w:pStyle w:val="Compact"/>
              <w:jc w:val="left"/>
            </w:pPr>
            <w:r>
              <w:t xml:space="preserve">High</w:t>
            </w:r>
          </w:p>
        </w:tc>
        <w:tc>
          <w:tcPr/>
          <w:p>
            <w:pPr>
              <w:pStyle w:val="Compact"/>
              <w:jc w:val="left"/>
            </w:pPr>
            <w:r>
              <w:t xml:space="preserve">Track AI/datacenter custom silicon revenue and Google partnership revenue timeline, gross margin trends (investor concerns on margin compression), optical DSP traction, networking product growth, free cash flow, competition from Broadcom/NVDA custom silicon, valuation risk (P/E &gt;70x), and whether Google deal converts to material revenue or remains speculative</w:t>
            </w:r>
          </w:p>
        </w:tc>
      </w:tr>
      <w:tr>
        <w:tc>
          <w:tcPr/>
          <w:p>
            <w:pPr>
              <w:pStyle w:val="Compact"/>
              <w:jc w:val="left"/>
            </w:pPr>
            <w:r>
              <w:t xml:space="preserve">NVDA</w:t>
            </w:r>
          </w:p>
        </w:tc>
        <w:tc>
          <w:tcPr/>
          <w:p>
            <w:pPr>
              <w:pStyle w:val="Compact"/>
              <w:jc w:val="left"/>
            </w:pPr>
            <w:r>
              <w:t xml:space="preserve">NVIDIA Corporation</w:t>
            </w:r>
          </w:p>
        </w:tc>
        <w:tc>
          <w:tcPr/>
          <w:p>
            <w:pPr>
              <w:pStyle w:val="Compact"/>
              <w:jc w:val="left"/>
            </w:pPr>
            <w:r>
              <w:t xml:space="preserve">AI infrastructure / GPUs / data-center accelerators</w:t>
            </w:r>
          </w:p>
        </w:tc>
        <w:tc>
          <w:tcPr/>
          <w:p>
            <w:pPr>
              <w:pStyle w:val="Compact"/>
              <w:jc w:val="left"/>
            </w:pPr>
            <w:r>
              <w:t xml:space="preserve">AI GPUs (H100, H200, Blackwell), CUDA software moat, data-center compute dominance, networking (Mellanox/NVLink), autonomous vehicle platforms, and AI inference scaling</w:t>
            </w:r>
          </w:p>
        </w:tc>
        <w:tc>
          <w:tcPr/>
          <w:p>
            <w:pPr>
              <w:pStyle w:val="Compact"/>
              <w:jc w:val="left"/>
            </w:pPr>
            <w:r>
              <w:t xml:space="preserve">High</w:t>
            </w:r>
          </w:p>
        </w:tc>
        <w:tc>
          <w:tcPr/>
          <w:p>
            <w:pPr>
              <w:pStyle w:val="Compact"/>
              <w:jc w:val="left"/>
            </w:pPr>
            <w:r>
              <w:t xml:space="preserve">Track data-center revenue growth, Blackwell architecture ramp and customer adoption, gross margin sustainability (63%+ TTM), customer concentration risk, competitive pressure from AMD/Intel/custom silicon, software ecosystem strength and CUDA lock-in, valuation (P/E and market cap at $5.3T), export restriction risk to China, and partnership depth with Coherent/Marvell/Ayar/Lightmatter photonics ecosystem</w:t>
            </w:r>
          </w:p>
        </w:tc>
      </w:tr>
      <w:tr>
        <w:tc>
          <w:tcPr/>
          <w:p>
            <w:pPr>
              <w:pStyle w:val="Compact"/>
              <w:jc w:val="left"/>
            </w:pPr>
            <w:r>
              <w:t xml:space="preserve">AVGO</w:t>
            </w:r>
          </w:p>
        </w:tc>
        <w:tc>
          <w:tcPr/>
          <w:p>
            <w:pPr>
              <w:pStyle w:val="Compact"/>
              <w:jc w:val="left"/>
            </w:pPr>
            <w:r>
              <w:t xml:space="preserve">Broadcom Inc.</w:t>
            </w:r>
          </w:p>
        </w:tc>
        <w:tc>
          <w:tcPr/>
          <w:p>
            <w:pPr>
              <w:pStyle w:val="Compact"/>
              <w:jc w:val="left"/>
            </w:pPr>
            <w:r>
              <w:t xml:space="preserve">Semiconductors / infrastructure software / AI networking</w:t>
            </w:r>
          </w:p>
        </w:tc>
        <w:tc>
          <w:tcPr/>
          <w:p>
            <w:pPr>
              <w:pStyle w:val="Compact"/>
              <w:jc w:val="left"/>
            </w:pPr>
            <w:r>
              <w:t xml:space="preserve">Custom AI accelerators (Google TPU, Meta), networking chips, VMware Cloud Foundation, optical interconnects, data-center infrastructure software, hyperscaler custom silicon partnerships</w:t>
            </w:r>
          </w:p>
        </w:tc>
        <w:tc>
          <w:tcPr/>
          <w:p>
            <w:pPr>
              <w:pStyle w:val="Compact"/>
              <w:jc w:val="left"/>
            </w:pPr>
            <w:r>
              <w:t xml:space="preserve">High</w:t>
            </w:r>
          </w:p>
        </w:tc>
        <w:tc>
          <w:tcPr/>
          <w:p>
            <w:pPr>
              <w:pStyle w:val="Compact"/>
              <w:jc w:val="left"/>
            </w:pPr>
            <w:r>
              <w:t xml:space="preserve">Track AI custom silicon revenue and hyperscaler partnership depth (Google TPU economics, Meta custom chips), VMware integration progress and software revenue quality, networking product growth, gross margin, debt levels and leverage from $60B-$100B AI infrastructure financing reports, free cash flow generation, competition from NVDA/MRVL, and valuation risk after 24% drawdown from June 2026 highs</w:t>
            </w:r>
          </w:p>
        </w:tc>
      </w:tr>
      <w:tr>
        <w:tc>
          <w:tcPr/>
          <w:p>
            <w:pPr>
              <w:pStyle w:val="Compact"/>
              <w:jc w:val="left"/>
            </w:pPr>
            <w:r>
              <w:t xml:space="preserve">01879.HK</w:t>
            </w:r>
          </w:p>
        </w:tc>
        <w:tc>
          <w:tcPr/>
          <w:p>
            <w:pPr>
              <w:pStyle w:val="Compact"/>
              <w:jc w:val="left"/>
            </w:pPr>
            <w:r>
              <w:t xml:space="preserve">Lightelligence</w:t>
            </w:r>
          </w:p>
        </w:tc>
        <w:tc>
          <w:tcPr/>
          <w:p>
            <w:pPr>
              <w:pStyle w:val="Compact"/>
              <w:jc w:val="left"/>
            </w:pPr>
            <w:r>
              <w:t xml:space="preserve">Optical computing / photonic AI / optical interconnects</w:t>
            </w:r>
          </w:p>
        </w:tc>
        <w:tc>
          <w:tcPr/>
          <w:p>
            <w:pPr>
              <w:pStyle w:val="Compact"/>
              <w:jc w:val="left"/>
            </w:pPr>
            <w:r>
              <w:t xml:space="preserve">PACE optoelectronic accelerator, Photowave CXL optical interconnect, Lightsphere dOCS optical circuit switch, optoelectronic hybrid computing architecture; world’s first AI silicon photonics IPO (Hong Kong Stock Exchange, April 28, 2026)</w:t>
            </w:r>
          </w:p>
        </w:tc>
        <w:tc>
          <w:tcPr/>
          <w:p>
            <w:pPr>
              <w:pStyle w:val="Compact"/>
              <w:jc w:val="left"/>
            </w:pPr>
            <w:r>
              <w:t xml:space="preserve">High</w:t>
            </w:r>
          </w:p>
        </w:tc>
        <w:tc>
          <w:tcPr/>
          <w:p>
            <w:pPr>
              <w:pStyle w:val="Compact"/>
              <w:jc w:val="left"/>
            </w:pPr>
            <w:r>
              <w:t xml:space="preserve">Track revenue growth from optical interconnect deployments in China GPU clusters, 88.3% market share sustainability in China scale-up optical interconnect (2025 data), gross margin and path to profitability, R&amp;D execution and patent portfolio (446 cumulative patents), competitive positioning vs Ayar Labs/Lightmatter/Celestial AI, China market concentration and geopolitical risk, Hong Kong listing performance and volatility, IPO lockup expiration and insider selling, and whether technology scales outside China or remains regionally concentrated</w:t>
            </w:r>
          </w:p>
        </w:tc>
      </w:tr>
    </w:tbl>
    <w:bookmarkEnd w:id="20"/>
    <w:bookmarkStart w:id="21" w:name="Xc25071fd0cfc8a5a4e934bb5b37b67231828e59"/>
    <w:p>
      <w:pPr>
        <w:pStyle w:val="Heading2"/>
      </w:pPr>
      <w:r>
        <w:t xml:space="preserve">Chinese Optical Transceiver Watch (Shenzhen-Listed)</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Ticker</w:t>
            </w:r>
          </w:p>
        </w:tc>
        <w:tc>
          <w:tcPr/>
          <w:p>
            <w:pPr>
              <w:pStyle w:val="Compact"/>
              <w:jc w:val="left"/>
            </w:pPr>
            <w:r>
              <w:t xml:space="preserve">Company</w:t>
            </w:r>
          </w:p>
        </w:tc>
        <w:tc>
          <w:tcPr/>
          <w:p>
            <w:pPr>
              <w:pStyle w:val="Compact"/>
              <w:jc w:val="left"/>
            </w:pPr>
            <w:r>
              <w:t xml:space="preserve">Sector</w:t>
            </w:r>
          </w:p>
        </w:tc>
        <w:tc>
          <w:tcPr/>
          <w:p>
            <w:pPr>
              <w:pStyle w:val="Compact"/>
              <w:jc w:val="left"/>
            </w:pPr>
            <w:r>
              <w:t xml:space="preserve">Reason Watching</w:t>
            </w:r>
          </w:p>
        </w:tc>
        <w:tc>
          <w:tcPr/>
          <w:p>
            <w:pPr>
              <w:pStyle w:val="Compact"/>
              <w:jc w:val="left"/>
            </w:pPr>
            <w:r>
              <w:t xml:space="preserve">Priority</w:t>
            </w:r>
          </w:p>
        </w:tc>
        <w:tc>
          <w:tcPr/>
          <w:p>
            <w:pPr>
              <w:pStyle w:val="Compact"/>
              <w:jc w:val="left"/>
            </w:pPr>
            <w:r>
              <w:t xml:space="preserve">Notes</w:t>
            </w:r>
          </w:p>
        </w:tc>
      </w:tr>
      <w:tr>
        <w:tc>
          <w:tcPr/>
          <w:p>
            <w:pPr>
              <w:pStyle w:val="Compact"/>
              <w:jc w:val="left"/>
            </w:pPr>
            <w:r>
              <w:t xml:space="preserve">300308.SZ</w:t>
            </w:r>
          </w:p>
        </w:tc>
        <w:tc>
          <w:tcPr/>
          <w:p>
            <w:pPr>
              <w:pStyle w:val="Compact"/>
              <w:jc w:val="left"/>
            </w:pPr>
            <w:r>
              <w:t xml:space="preserve">Zhongji Innolight Co., Ltd.</w:t>
            </w:r>
          </w:p>
        </w:tc>
        <w:tc>
          <w:tcPr/>
          <w:p>
            <w:pPr>
              <w:pStyle w:val="Compact"/>
              <w:jc w:val="left"/>
            </w:pPr>
            <w:r>
              <w:t xml:space="preserve">Optical transceivers / AI data-center photonics</w:t>
            </w:r>
          </w:p>
        </w:tc>
        <w:tc>
          <w:tcPr/>
          <w:p>
            <w:pPr>
              <w:pStyle w:val="Compact"/>
              <w:jc w:val="left"/>
            </w:pPr>
            <w:r>
              <w:t xml:space="preserve">High-speed optical transceiver modules (10G–1.6T), cloud and AI infrastructure interconnects, 5G, datacom/telecom; recently completed major Hong Kong listing</w:t>
            </w:r>
          </w:p>
        </w:tc>
        <w:tc>
          <w:tcPr/>
          <w:p>
            <w:pPr>
              <w:pStyle w:val="Compact"/>
              <w:jc w:val="left"/>
            </w:pPr>
            <w:r>
              <w:t xml:space="preserve">High</w:t>
            </w:r>
          </w:p>
        </w:tc>
        <w:tc>
          <w:tcPr/>
          <w:p>
            <w:pPr>
              <w:pStyle w:val="Compact"/>
              <w:jc w:val="left"/>
            </w:pPr>
            <w:r>
              <w:t xml:space="preserve">Track revenue growth, AI/datacenter transceiver shipments, 800G/1.6T ramp, gross margin, U.S. export restriction risk, Hong Kong listing capital use, customer concentration, geopolitical trade risk, and competition with Coherent/Lumentum</w:t>
            </w:r>
          </w:p>
        </w:tc>
      </w:tr>
      <w:tr>
        <w:tc>
          <w:tcPr/>
          <w:p>
            <w:pPr>
              <w:pStyle w:val="Compact"/>
              <w:jc w:val="left"/>
            </w:pPr>
            <w:r>
              <w:t xml:space="preserve">300502.SZ</w:t>
            </w:r>
          </w:p>
        </w:tc>
        <w:tc>
          <w:tcPr/>
          <w:p>
            <w:pPr>
              <w:pStyle w:val="Compact"/>
              <w:jc w:val="left"/>
            </w:pPr>
            <w:r>
              <w:t xml:space="preserve">Eoptolink Technology Inc.</w:t>
            </w:r>
          </w:p>
        </w:tc>
        <w:tc>
          <w:tcPr/>
          <w:p>
            <w:pPr>
              <w:pStyle w:val="Compact"/>
              <w:jc w:val="left"/>
            </w:pPr>
            <w:r>
              <w:t xml:space="preserve">Optical modules / AI photonics</w:t>
            </w:r>
          </w:p>
        </w:tc>
        <w:tc>
          <w:tcPr/>
          <w:p>
            <w:pPr>
              <w:pStyle w:val="Compact"/>
              <w:jc w:val="left"/>
            </w:pPr>
            <w:r>
              <w:t xml:space="preserve">High-speed optical modules including 800G LPO, silicon optical modules, coherent optical modules; 5G and data-center infrastructure</w:t>
            </w:r>
          </w:p>
        </w:tc>
        <w:tc>
          <w:tcPr/>
          <w:p>
            <w:pPr>
              <w:pStyle w:val="Compact"/>
              <w:jc w:val="left"/>
            </w:pPr>
            <w:r>
              <w:t xml:space="preserve">High</w:t>
            </w:r>
          </w:p>
        </w:tc>
        <w:tc>
          <w:tcPr/>
          <w:p>
            <w:pPr>
              <w:pStyle w:val="Compact"/>
              <w:jc w:val="left"/>
            </w:pPr>
            <w:r>
              <w:t xml:space="preserve">Track 800G/1.6T LPO module ramp, silicon photonics execution, data-center customer wins, revenue growth, gross margin, U.S. export restriction risk, geopolitical trade exposure, and competition</w:t>
            </w:r>
          </w:p>
        </w:tc>
      </w:tr>
      <w:tr>
        <w:tc>
          <w:tcPr/>
          <w:p>
            <w:pPr>
              <w:pStyle w:val="Compact"/>
              <w:jc w:val="left"/>
            </w:pPr>
            <w:r>
              <w:t xml:space="preserve">300394.SZ</w:t>
            </w:r>
          </w:p>
        </w:tc>
        <w:tc>
          <w:tcPr/>
          <w:p>
            <w:pPr>
              <w:pStyle w:val="Compact"/>
              <w:jc w:val="left"/>
            </w:pPr>
            <w:r>
              <w:t xml:space="preserve">Suzhou TFC Optical Communication Co., Ltd.</w:t>
            </w:r>
          </w:p>
        </w:tc>
        <w:tc>
          <w:tcPr/>
          <w:p>
            <w:pPr>
              <w:pStyle w:val="Compact"/>
              <w:jc w:val="left"/>
            </w:pPr>
            <w:r>
              <w:t xml:space="preserve">Fiber optic components / optical accessories</w:t>
            </w:r>
          </w:p>
        </w:tc>
        <w:tc>
          <w:tcPr/>
          <w:p>
            <w:pPr>
              <w:pStyle w:val="Compact"/>
              <w:jc w:val="left"/>
            </w:pPr>
            <w:r>
              <w:t xml:space="preserve">Fiber optic components, zirconia ceramics, precision metal parts, optical fiber accessories; foundational supply-chain component supplier</w:t>
            </w:r>
          </w:p>
        </w:tc>
        <w:tc>
          <w:tcPr/>
          <w:p>
            <w:pPr>
              <w:pStyle w:val="Compact"/>
              <w:jc w:val="left"/>
            </w:pPr>
            <w:r>
              <w:t xml:space="preserve">Medium</w:t>
            </w:r>
          </w:p>
        </w:tc>
        <w:tc>
          <w:tcPr/>
          <w:p>
            <w:pPr>
              <w:pStyle w:val="Compact"/>
              <w:jc w:val="left"/>
            </w:pPr>
            <w:r>
              <w:t xml:space="preserve">Track component demand tied to optical transceiver buildout, revenue growth, gross margin, customer concentration, geopolitical/export risk, and whether demand from AI optical supply chain becomes material</w:t>
            </w:r>
          </w:p>
        </w:tc>
      </w:tr>
    </w:tbl>
    <w:bookmarkEnd w:id="21"/>
    <w:bookmarkStart w:id="22" w:name="emerging-memory-photonic-ai-technologies"/>
    <w:p>
      <w:pPr>
        <w:pStyle w:val="Heading2"/>
      </w:pPr>
      <w:r>
        <w:t xml:space="preserve">Emerging Memory &amp; Photonic AI Technologies</w:t>
      </w:r>
    </w:p>
    <w:p>
      <w:pPr>
        <w:pStyle w:val="FirstParagraph"/>
      </w:pPr>
      <w:r>
        <w:rPr>
          <w:bCs/>
          <w:b/>
        </w:rPr>
        <w:t xml:space="preserve">Emerging Non-Volatile Memory Technologies (Track for M&amp;A, Partnerships, and Commercialization Signals)</w:t>
      </w:r>
    </w:p>
    <w:p>
      <w:pPr>
        <w:pStyle w:val="BodyText"/>
      </w:pPr>
      <w:r>
        <w:t xml:space="preserve">As of 2026, these memory technologies have moved beyond research labs into commercial production, primarily targeting embedded applications where legacy embedded Flash cannot scale below 28nm. They are critical enablers for AI-at-the-edge, neuromorphic computing, and data-center memory expansion.</w:t>
      </w:r>
    </w:p>
    <w:p>
      <w:pPr>
        <w:pStyle w:val="BodyText"/>
      </w:pPr>
      <w:r>
        <w:rPr>
          <w:bCs/>
          <w:b/>
        </w:rPr>
        <w:t xml:space="preserve">MRAM (Magnetoresistive RAM):</w:t>
      </w:r>
      <w:r>
        <w:t xml:space="preserve"> </w:t>
      </w:r>
      <w:r>
        <w:t xml:space="preserve">STT-MRAM (Spin-Transfer Torque) replacing embedded Flash in automotive and industrial microcontrollers; near-infinite endurance (10^14 cycles), nanosecond write speeds, non-volatile; scaled to 12nm nodes. Watch for: scaling below 10nm, AI edge device adoption, automotive qualification wins, and foundry production ramps (Samsung, TSMC, GlobalFoundries).</w:t>
      </w:r>
    </w:p>
    <w:p>
      <w:pPr>
        <w:pStyle w:val="BodyText"/>
      </w:pPr>
      <w:r>
        <w:rPr>
          <w:bCs/>
          <w:b/>
        </w:rPr>
        <w:t xml:space="preserve">ReRAM / RRAM (Resistive RAM):</w:t>
      </w:r>
      <w:r>
        <w:t xml:space="preserve"> </w:t>
      </w:r>
      <w:r>
        <w:t xml:space="preserve">Leading candidate for neuromorphic computing and AI-at-the-edge; simple metal-insulator-metal structure, CMOS-compatible, supports multiple resistance states for analog computing and synapse-like behavior; switching times &lt;100ns. Watch for: TSMC/GlobalFoundries</w:t>
      </w:r>
      <w:r>
        <w:t xml:space="preserve"> </w:t>
      </w:r>
      <w:r>
        <w:t xml:space="preserve">“</w:t>
      </w:r>
      <w:r>
        <w:t xml:space="preserve">Active Matrix</w:t>
      </w:r>
      <w:r>
        <w:t xml:space="preserve">”</w:t>
      </w:r>
      <w:r>
        <w:t xml:space="preserve"> </w:t>
      </w:r>
      <w:r>
        <w:t xml:space="preserve">production ramps, compute-in-memory AI inference deployments, energy efficiency improvements vs SRAM/DRAM, and whether analog computing architectures scale beyond research.</w:t>
      </w:r>
    </w:p>
    <w:p>
      <w:pPr>
        <w:pStyle w:val="BodyText"/>
      </w:pPr>
      <w:r>
        <w:rPr>
          <w:bCs/>
          <w:b/>
        </w:rPr>
        <w:t xml:space="preserve">PCRAM (Phase-Change RAM):</w:t>
      </w:r>
      <w:r>
        <w:t xml:space="preserve"> </w:t>
      </w:r>
      <w:r>
        <w:t xml:space="preserve">CXL (Compute Express Link) memory expanders, storage-class memory (SCM) tier between DRAM and SSD; chalcogenide glass switching between crystalline (low resistance) and amorphous (high resistance) states. Watch for: CXL memory adoption in hyperscale data centers, SCM tier commercialization, radiation-hardened aerospace/defense deployments, and whether Intel Optane discontinuation creates market opportunity for alternative PCRAM suppliers.</w:t>
      </w:r>
    </w:p>
    <w:p>
      <w:pPr>
        <w:pStyle w:val="BodyText"/>
      </w:pPr>
      <w:r>
        <w:rPr>
          <w:bCs/>
          <w:b/>
        </w:rPr>
        <w:t xml:space="preserve">HBM4 (High Bandwidth Memory 4):</w:t>
      </w:r>
      <w:r>
        <w:t xml:space="preserve"> </w:t>
      </w:r>
      <w:r>
        <w:t xml:space="preserve">Next-generation stacked memory for AI accelerators; successor to HBM3e with higher bandwidth, lower power, and tighter integration with GPU/accelerator dies. Watch for: Samsung/SK Hynix/Micron roadmap competition and production readiness, NVIDIA/AMD adoption timelines for Blackwell-next and MI-next architectures, bandwidth and power improvements vs HBM3e, TSV (Through-Silicon Via) and hybrid bonding execution, supply allocation and customer qualification, and whether HBM4 becomes a bottleneck or enabler for next-gen AI training clusters.</w:t>
      </w:r>
    </w:p>
    <w:p>
      <w:pPr>
        <w:pStyle w:val="BodyText"/>
      </w:pPr>
      <w:r>
        <w:rPr>
          <w:bCs/>
          <w:b/>
        </w:rPr>
        <w:t xml:space="preserve">Strategic Context:</w:t>
      </w:r>
      <w:r>
        <w:t xml:space="preserve"> </w:t>
      </w:r>
      <w:r>
        <w:t xml:space="preserve">None of these technologies are publicly traded as pure-play stocks. Track them through:</w:t>
      </w:r>
      <w:r>
        <w:t xml:space="preserve"> </w:t>
      </w:r>
      <w:r>
        <w:t xml:space="preserve">-</w:t>
      </w:r>
      <w:r>
        <w:t xml:space="preserve"> </w:t>
      </w:r>
      <w:r>
        <w:rPr>
          <w:bCs/>
          <w:b/>
        </w:rPr>
        <w:t xml:space="preserve">M&amp;A activity:</w:t>
      </w:r>
      <w:r>
        <w:t xml:space="preserve"> </w:t>
      </w:r>
      <w:r>
        <w:t xml:space="preserve">Acquisitions by Samsung, Micron, SK Hynix, TSMC, or semiconductor equipment makers</w:t>
      </w:r>
      <w:r>
        <w:t xml:space="preserve"> </w:t>
      </w:r>
      <w:r>
        <w:t xml:space="preserve">-</w:t>
      </w:r>
      <w:r>
        <w:t xml:space="preserve"> </w:t>
      </w:r>
      <w:r>
        <w:rPr>
          <w:bCs/>
          <w:b/>
        </w:rPr>
        <w:t xml:space="preserve">Partnership announcements:</w:t>
      </w:r>
      <w:r>
        <w:t xml:space="preserve"> </w:t>
      </w:r>
      <w:r>
        <w:t xml:space="preserve">Foundry production agreements, automotive/industrial design wins, hyperscaler pilots</w:t>
      </w:r>
      <w:r>
        <w:t xml:space="preserve"> </w:t>
      </w:r>
      <w:r>
        <w:t xml:space="preserve">-</w:t>
      </w:r>
      <w:r>
        <w:t xml:space="preserve"> </w:t>
      </w:r>
      <w:r>
        <w:rPr>
          <w:bCs/>
          <w:b/>
        </w:rPr>
        <w:t xml:space="preserve">Public company exposure:</w:t>
      </w:r>
      <w:r>
        <w:t xml:space="preserve"> </w:t>
      </w:r>
      <w:r>
        <w:t xml:space="preserve">Samsung (SSNLF), SK Hynix (SKHY), Micron (MU), TSMC (ADR: TSM), and Applied Materials for equipment</w:t>
      </w:r>
      <w:r>
        <w:t xml:space="preserve"> </w:t>
      </w:r>
      <w:r>
        <w:t xml:space="preserve">-</w:t>
      </w:r>
      <w:r>
        <w:t xml:space="preserve"> </w:t>
      </w:r>
      <w:r>
        <w:rPr>
          <w:bCs/>
          <w:b/>
        </w:rPr>
        <w:t xml:space="preserve">Disclosure in filings:</w:t>
      </w:r>
      <w:r>
        <w:t xml:space="preserve"> </w:t>
      </w:r>
      <w:r>
        <w:t xml:space="preserve">10-K/10-Q risk factors, capex allocation, R&amp;D focus areas, and product roadmap updates</w:t>
      </w:r>
    </w:p>
    <w:bookmarkEnd w:id="22"/>
    <w:bookmarkStart w:id="23" w:name="private-company-signals"/>
    <w:p>
      <w:pPr>
        <w:pStyle w:val="Heading2"/>
      </w:pPr>
      <w:r>
        <w:t xml:space="preserve">Private Company Signals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Company</w:t>
            </w:r>
          </w:p>
        </w:tc>
        <w:tc>
          <w:tcPr/>
          <w:p>
            <w:pPr>
              <w:pStyle w:val="Compact"/>
              <w:jc w:val="left"/>
            </w:pPr>
            <w:r>
              <w:t xml:space="preserve">Sector</w:t>
            </w:r>
          </w:p>
        </w:tc>
        <w:tc>
          <w:tcPr/>
          <w:p>
            <w:pPr>
              <w:pStyle w:val="Compact"/>
              <w:jc w:val="left"/>
            </w:pPr>
            <w:r>
              <w:t xml:space="preserve">Reason Watching</w:t>
            </w:r>
          </w:p>
        </w:tc>
        <w:tc>
          <w:tcPr/>
          <w:p>
            <w:pPr>
              <w:pStyle w:val="Compact"/>
              <w:jc w:val="left"/>
            </w:pPr>
            <w:r>
              <w:t xml:space="preserve">Notes</w:t>
            </w:r>
          </w:p>
        </w:tc>
      </w:tr>
      <w:tr>
        <w:tc>
          <w:tcPr/>
          <w:p>
            <w:pPr>
              <w:pStyle w:val="Compact"/>
              <w:jc w:val="left"/>
            </w:pPr>
            <w:r>
              <w:t xml:space="preserve">Sygaldry Technologies</w:t>
            </w:r>
          </w:p>
        </w:tc>
        <w:tc>
          <w:tcPr/>
          <w:p>
            <w:pPr>
              <w:pStyle w:val="Compact"/>
              <w:jc w:val="left"/>
            </w:pPr>
            <w:r>
              <w:t xml:space="preserve">Private quantum-AI infrastructure</w:t>
            </w:r>
          </w:p>
        </w:tc>
        <w:tc>
          <w:tcPr/>
          <w:p>
            <w:pPr>
              <w:pStyle w:val="Compact"/>
              <w:jc w:val="left"/>
            </w:pPr>
            <w:r>
              <w:t xml:space="preserve">Founder-linked private company tied to Chad Rigetti; useful as an adjacent signal for quantum-accelerated AI server development</w:t>
            </w:r>
          </w:p>
        </w:tc>
        <w:tc>
          <w:tcPr/>
          <w:p>
            <w:pPr>
              <w:pStyle w:val="Compact"/>
              <w:jc w:val="left"/>
            </w:pPr>
            <w:r>
              <w:t xml:space="preserve">Private company, not directly investable through public shares; track product claims, funding, partnerships, hiring, customer validation, technical milestones, and whether developments affect the public quantum lane</w:t>
            </w:r>
          </w:p>
        </w:tc>
      </w:tr>
      <w:tr>
        <w:tc>
          <w:tcPr/>
          <w:p>
            <w:pPr>
              <w:pStyle w:val="Compact"/>
              <w:jc w:val="left"/>
            </w:pPr>
            <w:r>
              <w:t xml:space="preserve">Solidigm</w:t>
            </w:r>
          </w:p>
        </w:tc>
        <w:tc>
          <w:tcPr/>
          <w:p>
            <w:pPr>
              <w:pStyle w:val="Compact"/>
              <w:jc w:val="left"/>
            </w:pPr>
            <w:r>
              <w:t xml:space="preserve">NAND flash / SSD storage / AI data infrastructure</w:t>
            </w:r>
          </w:p>
        </w:tc>
        <w:tc>
          <w:tcPr/>
          <w:p>
            <w:pPr>
              <w:pStyle w:val="Compact"/>
              <w:jc w:val="left"/>
            </w:pPr>
            <w:r>
              <w:t xml:space="preserve">SK Hynix subsidiary and former Intel NAND business; potential NYSE IPO watch; NAND and SSD technology for AI data-center storage</w:t>
            </w:r>
          </w:p>
        </w:tc>
        <w:tc>
          <w:tcPr/>
          <w:p>
            <w:pPr>
              <w:pStyle w:val="Compact"/>
              <w:jc w:val="left"/>
            </w:pPr>
            <w:r>
              <w:t xml:space="preserve">Private subsidiary of SK Hynix; track IPO news, SK Hynix earnings for Solidigm performance data, NAND pricing cycle, AI data-center storage demand, and whether a public listing materializes</w:t>
            </w:r>
          </w:p>
        </w:tc>
      </w:tr>
      <w:tr>
        <w:tc>
          <w:tcPr/>
          <w:p>
            <w:pPr>
              <w:pStyle w:val="Compact"/>
              <w:jc w:val="left"/>
            </w:pPr>
            <w:r>
              <w:t xml:space="preserve">Ayar Labs</w:t>
            </w:r>
          </w:p>
        </w:tc>
        <w:tc>
          <w:tcPr/>
          <w:p>
            <w:pPr>
              <w:pStyle w:val="Compact"/>
              <w:jc w:val="left"/>
            </w:pPr>
            <w:r>
              <w:t xml:space="preserve">Optical interconnects / silicon photonics / co-packaged optics</w:t>
            </w:r>
          </w:p>
        </w:tc>
        <w:tc>
          <w:tcPr/>
          <w:p>
            <w:pPr>
              <w:pStyle w:val="Compact"/>
              <w:jc w:val="left"/>
            </w:pPr>
            <w:r>
              <w:t xml:space="preserve">TeraPHY optical chiplet (UCIe-compatible), SuperNova laser source, co-packaged optics (CPO) for GPU/CPU direct integration; replaces copper electrical interconnects with light for AI data-center connectivity; founded 2015, $870M raised, $3.75B valuation (March 2026 Series E)</w:t>
            </w:r>
          </w:p>
        </w:tc>
        <w:tc>
          <w:tcPr/>
          <w:p>
            <w:pPr>
              <w:pStyle w:val="Compact"/>
              <w:jc w:val="left"/>
            </w:pPr>
            <w:r>
              <w:t xml:space="preserve">Private company; track production scaling and volume manufacturing, hyperscaler customer wins (NVIDIA/Intel/AMD partnerships), UCIe chiplet ecosystem adoption, data-center deployment milestones, bandwidth (16 Tbps capability) and power efficiency claims vs copper, competition with Lightmatter/Celestial AI/Lightelligence, funding rounds and valuation trajectory, and potential IPO signals or M&amp;A interest from semiconductor majors</w:t>
            </w:r>
          </w:p>
        </w:tc>
      </w:tr>
      <w:tr>
        <w:tc>
          <w:tcPr/>
          <w:p>
            <w:pPr>
              <w:pStyle w:val="Compact"/>
              <w:jc w:val="left"/>
            </w:pPr>
            <w:r>
              <w:t xml:space="preserve">Lightmatter</w:t>
            </w:r>
          </w:p>
        </w:tc>
        <w:tc>
          <w:tcPr/>
          <w:p>
            <w:pPr>
              <w:pStyle w:val="Compact"/>
              <w:jc w:val="left"/>
            </w:pPr>
            <w:r>
              <w:t xml:space="preserve">Photonic computing / optical interconnects / 3D photonics</w:t>
            </w:r>
          </w:p>
        </w:tc>
        <w:tc>
          <w:tcPr/>
          <w:p>
            <w:pPr>
              <w:pStyle w:val="Compact"/>
              <w:jc w:val="left"/>
            </w:pPr>
            <w:r>
              <w:t xml:space="preserve">Passage photonic interposers (M1000</w:t>
            </w:r>
            <w:r>
              <w:t xml:space="preserve"> </w:t>
            </w:r>
            <w:r>
              <w:t xml:space="preserve">“</w:t>
            </w:r>
            <w:r>
              <w:t xml:space="preserve">superchip</w:t>
            </w:r>
            <w:r>
              <w:t xml:space="preserve">”</w:t>
            </w:r>
            <w:r>
              <w:t xml:space="preserve"> </w:t>
            </w:r>
            <w:r>
              <w:t xml:space="preserve">with 114 Tbps optical bandwidth, L200/L20 variants), Guide VLSP laser engine, Envise photonic AI accelerator; NVIDIA NVLink Fusion ecosystem partner; 3D co-packaged optics and photonic tensor cores</w:t>
            </w:r>
          </w:p>
        </w:tc>
        <w:tc>
          <w:tcPr/>
          <w:p>
            <w:pPr>
              <w:pStyle w:val="Compact"/>
              <w:jc w:val="left"/>
            </w:pPr>
            <w:r>
              <w:t xml:space="preserve">Private company; track production readiness with foundry partners (TSMC/GlobalFoundries/Amkor), NVIDIA NVLink ecosystem integration depth and customer traction, photonic computing accuracy vs 32-bit digital GPUs, 3D integration execution, customer wins and deployment scale, technical milestones (ABFP numerical format, silicon photonics manufacturing), funding rounds, and whether photonic acceleration becomes material or remains niche vs GPU dominance</w:t>
            </w:r>
          </w:p>
        </w:tc>
      </w:tr>
      <w:tr>
        <w:tc>
          <w:tcPr/>
          <w:p>
            <w:pPr>
              <w:pStyle w:val="Compact"/>
              <w:jc w:val="left"/>
            </w:pPr>
            <w:r>
              <w:t xml:space="preserve">Celestial AI</w:t>
            </w:r>
          </w:p>
        </w:tc>
        <w:tc>
          <w:tcPr/>
          <w:p>
            <w:pPr>
              <w:pStyle w:val="Compact"/>
              <w:jc w:val="left"/>
            </w:pPr>
            <w:r>
              <w:t xml:space="preserve">Photonic fabric / optical interconnects / co-packaged optics</w:t>
            </w:r>
          </w:p>
        </w:tc>
        <w:tc>
          <w:tcPr/>
          <w:p>
            <w:pPr>
              <w:pStyle w:val="Compact"/>
              <w:jc w:val="left"/>
            </w:pPr>
            <w:r>
              <w:t xml:space="preserve">Photonic Fabric platform for in-die optical I/O; thermally stable center-of-die connectivity freeing edge space for HBM; 16 Tbps first-gen chiplet, PFM/PF-NIC/PF-Chiplet products;</w:t>
            </w:r>
            <w:r>
              <w:t xml:space="preserve"> </w:t>
            </w:r>
            <w:r>
              <w:rPr>
                <w:bCs/>
                <w:b/>
              </w:rPr>
              <w:t xml:space="preserve">acquired by Marvell Technology for ~$3.25B (announced Dec 2, 2025; expected close Q1 2026)</w:t>
            </w:r>
          </w:p>
        </w:tc>
        <w:tc>
          <w:tcPr/>
          <w:p>
            <w:pPr>
              <w:pStyle w:val="Compact"/>
              <w:jc w:val="left"/>
            </w:pPr>
            <w:r>
              <w:t xml:space="preserve">Acquisition watch; track Marvell integration execution and timeline, revenue contribution projections (Marvell guidance: material contribution starting H2 FY2028), UALink scale-up switch roadmap integration, hyperscaler customer adoption and deployment wins, photonic fabric technology validation in production data centers, competitive positioning vs Broadcom/NVDA in AI optical connectivity, and whether Marvell/Celestial combination can capture meaningful share of the $60B-$100B AI infrastructure connectivity market</w:t>
            </w:r>
          </w:p>
        </w:tc>
      </w:tr>
    </w:tbl>
    <w:bookmarkEnd w:id="23"/>
    <w:bookmarkStart w:id="24" w:name="filing-types-to-track"/>
    <w:p>
      <w:pPr>
        <w:pStyle w:val="Heading2"/>
      </w:pPr>
      <w:r>
        <w:t xml:space="preserve">Filing Types to Track</w:t>
      </w:r>
    </w:p>
    <w:p>
      <w:pPr>
        <w:numPr>
          <w:ilvl w:val="0"/>
          <w:numId w:val="1001"/>
        </w:numPr>
        <w:pStyle w:val="Compact"/>
      </w:pPr>
      <w:r>
        <w:t xml:space="preserve">8-K: Major corporate events</w:t>
      </w:r>
    </w:p>
    <w:p>
      <w:pPr>
        <w:numPr>
          <w:ilvl w:val="0"/>
          <w:numId w:val="1001"/>
        </w:numPr>
        <w:pStyle w:val="Compact"/>
      </w:pPr>
      <w:r>
        <w:t xml:space="preserve">10-Q: Quarterly report</w:t>
      </w:r>
    </w:p>
    <w:p>
      <w:pPr>
        <w:numPr>
          <w:ilvl w:val="0"/>
          <w:numId w:val="1001"/>
        </w:numPr>
        <w:pStyle w:val="Compact"/>
      </w:pPr>
      <w:r>
        <w:t xml:space="preserve">10-K: Annual report</w:t>
      </w:r>
    </w:p>
    <w:p>
      <w:pPr>
        <w:numPr>
          <w:ilvl w:val="0"/>
          <w:numId w:val="1001"/>
        </w:numPr>
        <w:pStyle w:val="Compact"/>
      </w:pPr>
      <w:r>
        <w:t xml:space="preserve">DEF 14A: Proxy statement, governance, executive compensation</w:t>
      </w:r>
    </w:p>
    <w:p>
      <w:pPr>
        <w:numPr>
          <w:ilvl w:val="0"/>
          <w:numId w:val="1001"/>
        </w:numPr>
        <w:pStyle w:val="Compact"/>
      </w:pPr>
      <w:r>
        <w:t xml:space="preserve">Form 4: Insider transactions</w:t>
      </w:r>
    </w:p>
    <w:p>
      <w:pPr>
        <w:numPr>
          <w:ilvl w:val="0"/>
          <w:numId w:val="1001"/>
        </w:numPr>
        <w:pStyle w:val="Compact"/>
      </w:pPr>
      <w:r>
        <w:t xml:space="preserve">S-1: Registration statement / IPO filing</w:t>
      </w:r>
    </w:p>
    <w:p>
      <w:pPr>
        <w:numPr>
          <w:ilvl w:val="0"/>
          <w:numId w:val="1001"/>
        </w:numPr>
        <w:pStyle w:val="Compact"/>
      </w:pPr>
      <w:r>
        <w:t xml:space="preserve">S-3: Shelf registration</w:t>
      </w:r>
    </w:p>
    <w:p>
      <w:pPr>
        <w:numPr>
          <w:ilvl w:val="0"/>
          <w:numId w:val="1001"/>
        </w:numPr>
        <w:pStyle w:val="Compact"/>
      </w:pPr>
      <w:r>
        <w:t xml:space="preserve">424B: Prospectus supplement / offering detail</w:t>
      </w:r>
    </w:p>
    <w:bookmarkEnd w:id="24"/>
    <w:bookmarkStart w:id="25" w:name="review-rules"/>
    <w:p>
      <w:pPr>
        <w:pStyle w:val="Heading2"/>
      </w:pPr>
      <w:r>
        <w:t xml:space="preserve">Review Rules</w:t>
      </w:r>
    </w:p>
    <w:p>
      <w:pPr>
        <w:numPr>
          <w:ilvl w:val="0"/>
          <w:numId w:val="1002"/>
        </w:numPr>
        <w:pStyle w:val="Compact"/>
      </w:pPr>
      <w:r>
        <w:t xml:space="preserve">Do not rely on price alone.</w:t>
      </w:r>
    </w:p>
    <w:p>
      <w:pPr>
        <w:numPr>
          <w:ilvl w:val="0"/>
          <w:numId w:val="1002"/>
        </w:numPr>
        <w:pStyle w:val="Compact"/>
      </w:pPr>
      <w:r>
        <w:t xml:space="preserve">Read filings before forming opinions.</w:t>
      </w:r>
    </w:p>
    <w:p>
      <w:pPr>
        <w:numPr>
          <w:ilvl w:val="0"/>
          <w:numId w:val="1002"/>
        </w:numPr>
        <w:pStyle w:val="Compact"/>
      </w:pPr>
      <w:r>
        <w:t xml:space="preserve">Track dilution, debt, cash flow, management changes, risk factors, and business model changes.</w:t>
      </w:r>
    </w:p>
    <w:p>
      <w:pPr>
        <w:numPr>
          <w:ilvl w:val="0"/>
          <w:numId w:val="1002"/>
        </w:numPr>
        <w:pStyle w:val="Compact"/>
      </w:pPr>
      <w:r>
        <w:t xml:space="preserve">Separate speculation from evidence.</w:t>
      </w:r>
    </w:p>
    <w:p>
      <w:pPr>
        <w:numPr>
          <w:ilvl w:val="0"/>
          <w:numId w:val="1002"/>
        </w:numPr>
        <w:pStyle w:val="Compact"/>
      </w:pPr>
      <w:r>
        <w:t xml:space="preserve">Watch ownership changes, share issuance, capital raises, and regulatory issues.</w:t>
      </w:r>
    </w:p>
    <w:p>
      <w:pPr>
        <w:numPr>
          <w:ilvl w:val="0"/>
          <w:numId w:val="1002"/>
        </w:numPr>
        <w:pStyle w:val="Compact"/>
      </w:pPr>
      <w:r>
        <w:t xml:space="preserve">Treat hype sectors carefully.</w:t>
      </w:r>
    </w:p>
    <w:p>
      <w:pPr>
        <w:numPr>
          <w:ilvl w:val="0"/>
          <w:numId w:val="1002"/>
        </w:numPr>
        <w:pStyle w:val="Compact"/>
      </w:pPr>
      <w:r>
        <w:t xml:space="preserve">Treat microcap / low-price stocks as high-risk until filings prove stability.</w:t>
      </w:r>
    </w:p>
    <w:p>
      <w:pPr>
        <w:numPr>
          <w:ilvl w:val="0"/>
          <w:numId w:val="1002"/>
        </w:numPr>
        <w:pStyle w:val="Compact"/>
      </w:pPr>
      <w:r>
        <w:t xml:space="preserve">Treat newly public infrastructure names as watch-first until valuation, filings, and lockup / insider activity are understood.</w:t>
      </w:r>
    </w:p>
    <w:p>
      <w:pPr>
        <w:numPr>
          <w:ilvl w:val="0"/>
          <w:numId w:val="1002"/>
        </w:numPr>
        <w:pStyle w:val="Compact"/>
      </w:pPr>
      <w:r>
        <w:t xml:space="preserve">Treat biotech names as milestone-driven: watch clinical data, regulatory events, safety signals, cash runway, dilution, and commercialization progress before investing.</w:t>
      </w:r>
    </w:p>
    <w:p>
      <w:pPr>
        <w:numPr>
          <w:ilvl w:val="0"/>
          <w:numId w:val="1002"/>
        </w:numPr>
        <w:pStyle w:val="Compact"/>
      </w:pPr>
      <w:r>
        <w:t xml:space="preserve">Treat cold-chain logistics names as operating-infrastructure watches: focus on revenue quality, margin trend, cash flow, customer demand, trial activity, and strategic partnerships.</w:t>
      </w:r>
    </w:p>
    <w:p>
      <w:pPr>
        <w:numPr>
          <w:ilvl w:val="0"/>
          <w:numId w:val="1002"/>
        </w:numPr>
        <w:pStyle w:val="Compact"/>
      </w:pPr>
      <w:r>
        <w:t xml:space="preserve">Treat employer-related stocks carefully: separate personal workplace experience from public filing evidence, and never trade on non-public workplace information.</w:t>
      </w:r>
    </w:p>
    <w:p>
      <w:pPr>
        <w:numPr>
          <w:ilvl w:val="0"/>
          <w:numId w:val="1002"/>
        </w:numPr>
        <w:pStyle w:val="Compact"/>
      </w:pPr>
      <w:r>
        <w:t xml:space="preserve">Treat mature enterprise technology names as cash-flow and execution watches: focus on durable software growth, free cash flow, debt, dividend coverage, and whether AI claims turn into measurable revenue.</w:t>
      </w:r>
    </w:p>
    <w:p>
      <w:pPr>
        <w:numPr>
          <w:ilvl w:val="0"/>
          <w:numId w:val="1002"/>
        </w:numPr>
        <w:pStyle w:val="Compact"/>
      </w:pPr>
      <w:r>
        <w:t xml:space="preserve">Treat semiconductor turnaround names as prove-it watches: focus on process-node execution, foundry customer wins, gross margin recovery, free cash flow, capex discipline, and competitive position.</w:t>
      </w:r>
    </w:p>
    <w:p>
      <w:pPr>
        <w:numPr>
          <w:ilvl w:val="0"/>
          <w:numId w:val="1002"/>
        </w:numPr>
        <w:pStyle w:val="Compact"/>
      </w:pPr>
      <w:r>
        <w:t xml:space="preserve">Treat industrial photonics names as cycle-sensitive infrastructure watches: focus on order demand, gross margin, China exposure, automation demand, cash flow, and whether growth products become material.</w:t>
      </w:r>
    </w:p>
    <w:p>
      <w:pPr>
        <w:numPr>
          <w:ilvl w:val="0"/>
          <w:numId w:val="1002"/>
        </w:numPr>
        <w:pStyle w:val="Compact"/>
      </w:pPr>
      <w:r>
        <w:t xml:space="preserve">Treat ETFs as benchmark baskets, not operating companies: focus on holdings, concentration, overlap with other funds, expense ratio, sector drawdown risk, and whether the ETF improves diversification.</w:t>
      </w:r>
    </w:p>
    <w:p>
      <w:pPr>
        <w:numPr>
          <w:ilvl w:val="0"/>
          <w:numId w:val="1002"/>
        </w:numPr>
        <w:pStyle w:val="Compact"/>
      </w:pPr>
      <w:r>
        <w:t xml:space="preserve">Treat defense technology names as contract-and-execution watches: focus on backlog, book-to-bill, production scaling, contract timing, budget exposure, margins, cash flow, R&amp;D intensity, dilution, and valuation.</w:t>
      </w:r>
    </w:p>
    <w:p>
      <w:pPr>
        <w:numPr>
          <w:ilvl w:val="0"/>
          <w:numId w:val="1002"/>
        </w:numPr>
        <w:pStyle w:val="Compact"/>
      </w:pPr>
      <w:r>
        <w:t xml:space="preserve">Treat major pharma platform names as regulated-medicine infrastructure watches: focus on commercialization, supply capacity, reimbursement, clinical pipeline durability, regulatory updates, litigation, margins, and competitive pressure.</w:t>
      </w:r>
    </w:p>
    <w:p>
      <w:pPr>
        <w:numPr>
          <w:ilvl w:val="0"/>
          <w:numId w:val="1002"/>
        </w:numPr>
        <w:pStyle w:val="Compact"/>
      </w:pPr>
      <w:r>
        <w:t xml:space="preserve">Treat advanced nuclear names as pre-commercial infrastructure watches: focus on permitting, DOE/NRC authorization, fuel supply, construction execution, customer agreements, cash runway, dilution, safety milestones, and proof of first power.</w:t>
      </w:r>
    </w:p>
    <w:p>
      <w:pPr>
        <w:numPr>
          <w:ilvl w:val="0"/>
          <w:numId w:val="1002"/>
        </w:numPr>
        <w:pStyle w:val="Compact"/>
      </w:pPr>
      <w:r>
        <w:t xml:space="preserve">Treat public quantum names as high-risk milestone watches: focus on cash runway, dilution, customer validation, government contracts, system performance, technical roadmaps, and whether revenue is real or mostly hype.</w:t>
      </w:r>
    </w:p>
    <w:p>
      <w:pPr>
        <w:numPr>
          <w:ilvl w:val="0"/>
          <w:numId w:val="1002"/>
        </w:numPr>
        <w:pStyle w:val="Compact"/>
      </w:pPr>
      <w:r>
        <w:t xml:space="preserve">Treat private-company signals as research context only: they are not public-stock entries unless a public security exists; use them to understand sector direction, founder movement, funding, partnerships, and technology claims.</w:t>
      </w:r>
    </w:p>
    <w:p>
      <w:pPr>
        <w:numPr>
          <w:ilvl w:val="0"/>
          <w:numId w:val="1002"/>
        </w:numPr>
        <w:pStyle w:val="Compact"/>
      </w:pPr>
      <w:r>
        <w:t xml:space="preserve">Treat held positions as operating theses rather than benchmark baskets: anything actually owned needs a written risk case, a sizing rationale, and an exit condition, even when it is an ETF.</w:t>
      </w:r>
    </w:p>
    <w:p>
      <w:pPr>
        <w:numPr>
          <w:ilvl w:val="0"/>
          <w:numId w:val="1002"/>
        </w:numPr>
        <w:pStyle w:val="Compact"/>
      </w:pPr>
      <w:r>
        <w:t xml:space="preserve">Treat synthetic or swap-based funds as counterparty exposures: establish what share of exposure is derivative rather than physical, who the counterparties are, when the swaps mature, and whether the fund is able to hold the underlying securities directly at all.</w:t>
      </w:r>
    </w:p>
    <w:p>
      <w:pPr>
        <w:numPr>
          <w:ilvl w:val="0"/>
          <w:numId w:val="1002"/>
        </w:numPr>
        <w:pStyle w:val="Compact"/>
      </w:pPr>
      <w:r>
        <w:t xml:space="preserve">Treat memory semiconductor exposure as a pricing-cycle watch: focus on DRAM/NAND contract pricing, HBM ramp and qualification, supplier capex discipline, inventory correction risk, hyperscaler demand, and single-country concentration in Korea, Taiwan and China.</w:t>
      </w:r>
    </w:p>
    <w:p>
      <w:pPr>
        <w:numPr>
          <w:ilvl w:val="0"/>
          <w:numId w:val="1002"/>
        </w:numPr>
        <w:pStyle w:val="Compact"/>
      </w:pPr>
      <w:r>
        <w:t xml:space="preserve">Treat ADRs and foreign listings as translation watches: confirm the share ratio and float against the home listing, check whether quoted market value reflects the ADR or the whole company, watch premium or discount to the home line, and convert analyst targets and financials out of the home currency before comparing them to the US price.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2026-08-30T01:27:19Z</dcterms:created>
  <dcterms:modified xsi:type="dcterms:W3CDTF">2026-08-30T01:27:19Z</dcterms:modified>
</cp:coreProperties>
</file>

<file path=docProps/custom.xml><?xml version="1.0" encoding="utf-8"?>
<Properties xmlns="http://schemas.openxmlformats.org/officeDocument/2006/custom-properties" xmlns:vt="http://schemas.openxmlformats.org/officeDocument/2006/docPropsVTypes"/>
</file>