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dp-gmp-records-review-reference"/>
    <w:p>
      <w:pPr>
        <w:pStyle w:val="Heading1"/>
      </w:pPr>
      <w:r>
        <w:t xml:space="preserve">GDP / GMP Records — Review Reference</w:t>
      </w:r>
    </w:p>
    <w:p>
      <w:pPr>
        <w:pStyle w:val="FirstParagraph"/>
      </w:pPr>
      <w:r>
        <w:t xml:space="preserve">Purpose: Field-by-field reference for reviewing Good Distribution Practice (GDP) and Good</w:t>
      </w:r>
      <w:r>
        <w:t xml:space="preserve"> </w:t>
      </w:r>
      <w:r>
        <w:t xml:space="preserve">Manufacturing Practice (GMP) records that accompany pharmaceutical shipments. Original summary built</w:t>
      </w:r>
      <w:r>
        <w:t xml:space="preserve"> </w:t>
      </w:r>
      <w:r>
        <w:t xml:space="preserve">from EU GDP Guidelines (2013/C 343/01), FDA 21 CFR Parts 210/211, WHO TRS 961 Annex 9, and Cold</w:t>
      </w:r>
      <w:r>
        <w:t xml:space="preserve"> </w:t>
      </w:r>
      <w:r>
        <w:t xml:space="preserve">Chain 4.0 digital-record practice. Not a copy of any proprietary SOP.</w:t>
      </w:r>
    </w:p>
    <w:bookmarkStart w:id="20" w:name="X216419bcd28edd3c8a02f36c3c6a424ce13e015"/>
    <w:p>
      <w:pPr>
        <w:pStyle w:val="Heading2"/>
      </w:pPr>
      <w:r>
        <w:t xml:space="preserve">Governing standard (see standards-of-precedence.md, section 2)</w:t>
      </w:r>
    </w:p>
    <w:p>
      <w:pPr>
        <w:pStyle w:val="FirstParagraph"/>
      </w:pPr>
      <w:r>
        <w:t xml:space="preserve">Product label storage condition (floor) &gt; destination-country GDP/GMP &gt; IATA CEIV Pharma / TCR for</w:t>
      </w:r>
      <w:r>
        <w:t xml:space="preserve"> </w:t>
      </w:r>
      <w:r>
        <w:t xml:space="preserve">the air leg &gt; WHO TRS 961 / USP &lt;1079&gt; supporting practice &gt; customer quality agreement if stricter.</w:t>
      </w:r>
      <w:r>
        <w:t xml:space="preserve"> </w:t>
      </w:r>
      <w:r>
        <w:rPr>
          <w:bCs/>
          <w:b/>
        </w:rPr>
        <w:t xml:space="preserve">The narrowest temperature range and strictest documentation/retention requirement win.</w:t>
      </w:r>
    </w:p>
    <w:bookmarkEnd w:id="20"/>
    <w:bookmarkStart w:id="21" w:name="Xe9bd3c88145d14df36a957fa10993cec3cbee49"/>
    <w:p>
      <w:pPr>
        <w:pStyle w:val="Heading2"/>
      </w:pPr>
      <w:r>
        <w:t xml:space="preserve">Records that should accompany or back a GDP/GMP shipment</w:t>
      </w:r>
    </w:p>
    <w:p>
      <w:pPr>
        <w:numPr>
          <w:ilvl w:val="0"/>
          <w:numId w:val="1001"/>
        </w:numPr>
        <w:pStyle w:val="Compact"/>
      </w:pPr>
      <w:r>
        <w:t xml:space="preserve">Product name, strength, dosage form</w:t>
      </w:r>
    </w:p>
    <w:p>
      <w:pPr>
        <w:numPr>
          <w:ilvl w:val="0"/>
          <w:numId w:val="1001"/>
        </w:numPr>
        <w:pStyle w:val="Compact"/>
      </w:pPr>
      <w:r>
        <w:t xml:space="preserve">Batch / lot number</w:t>
      </w:r>
    </w:p>
    <w:p>
      <w:pPr>
        <w:numPr>
          <w:ilvl w:val="0"/>
          <w:numId w:val="1001"/>
        </w:numPr>
        <w:pStyle w:val="Compact"/>
      </w:pPr>
      <w:r>
        <w:t xml:space="preserve">Expiry date (and retest date if applicable)</w:t>
      </w:r>
    </w:p>
    <w:p>
      <w:pPr>
        <w:numPr>
          <w:ilvl w:val="0"/>
          <w:numId w:val="1001"/>
        </w:numPr>
        <w:pStyle w:val="Compact"/>
      </w:pPr>
      <w:r>
        <w:t xml:space="preserve">Quantity shipped</w:t>
      </w:r>
    </w:p>
    <w:p>
      <w:pPr>
        <w:numPr>
          <w:ilvl w:val="0"/>
          <w:numId w:val="1001"/>
        </w:numPr>
        <w:pStyle w:val="Compact"/>
      </w:pPr>
      <w:r>
        <w:t xml:space="preserve">Storage condition on the label (e.g. </w:t>
      </w:r>
      <w:r>
        <w:t xml:space="preserve">“</w:t>
      </w:r>
      <w:r>
        <w:t xml:space="preserve">Store at 2–8 °C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Do not freeze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Store below 25 °C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Manufacturer / MAH (marketing authorization holder) and distributor</w:t>
      </w:r>
    </w:p>
    <w:p>
      <w:pPr>
        <w:numPr>
          <w:ilvl w:val="0"/>
          <w:numId w:val="1001"/>
        </w:numPr>
        <w:pStyle w:val="Compact"/>
      </w:pPr>
      <w:r>
        <w:t xml:space="preserve">Wholesale distribution authorization / license number (GDP)</w:t>
      </w:r>
    </w:p>
    <w:p>
      <w:pPr>
        <w:numPr>
          <w:ilvl w:val="0"/>
          <w:numId w:val="1001"/>
        </w:numPr>
        <w:pStyle w:val="Compact"/>
      </w:pPr>
      <w:r>
        <w:t xml:space="preserve">Certificate of Analysis reference (see</w:t>
      </w:r>
      <w:r>
        <w:t xml:space="preserve"> </w:t>
      </w:r>
      <w:r>
        <w:rPr>
          <w:rStyle w:val="VerbatimChar"/>
        </w:rPr>
        <w:t xml:space="preserve">../02-certificate-of-analysis/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Temperature log / data-logger record for the lane (see</w:t>
      </w:r>
      <w:r>
        <w:t xml:space="preserve"> </w:t>
      </w:r>
      <w:r>
        <w:rPr>
          <w:rStyle w:val="VerbatimChar"/>
        </w:rPr>
        <w:t xml:space="preserve">cold-chain/02-temperature-control/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Chain-of-custody / handover signatures</w:t>
      </w:r>
    </w:p>
    <w:bookmarkEnd w:id="21"/>
    <w:bookmarkStart w:id="22" w:name="core-gdp-review-points"/>
    <w:p>
      <w:pPr>
        <w:pStyle w:val="Heading2"/>
      </w:pPr>
      <w:r>
        <w:t xml:space="preserve">Core GDP review points</w:t>
      </w:r>
    </w:p>
    <w:p>
      <w:pPr>
        <w:numPr>
          <w:ilvl w:val="0"/>
          <w:numId w:val="1002"/>
        </w:numPr>
        <w:pStyle w:val="Compact"/>
      </w:pPr>
      <w:r>
        <w:t xml:space="preserve">☐ Storage condition on the record matches the product label exactly (never widened)</w:t>
      </w:r>
    </w:p>
    <w:p>
      <w:pPr>
        <w:numPr>
          <w:ilvl w:val="0"/>
          <w:numId w:val="1002"/>
        </w:numPr>
        <w:pStyle w:val="Compact"/>
      </w:pPr>
      <w:r>
        <w:t xml:space="preserve">☐ Batch/lot number on the record matches the CoA and the physical labels</w:t>
      </w:r>
    </w:p>
    <w:p>
      <w:pPr>
        <w:numPr>
          <w:ilvl w:val="0"/>
          <w:numId w:val="1002"/>
        </w:numPr>
        <w:pStyle w:val="Compact"/>
      </w:pPr>
      <w:r>
        <w:t xml:space="preserve">☐ Expiry date present and not expired / not expiring inside the transit + shelf window</w:t>
      </w:r>
    </w:p>
    <w:p>
      <w:pPr>
        <w:numPr>
          <w:ilvl w:val="0"/>
          <w:numId w:val="1002"/>
        </w:numPr>
        <w:pStyle w:val="Compact"/>
      </w:pPr>
      <w:r>
        <w:t xml:space="preserve">☐ Distributor holds a valid wholesale distribution authorization</w:t>
      </w:r>
    </w:p>
    <w:p>
      <w:pPr>
        <w:numPr>
          <w:ilvl w:val="0"/>
          <w:numId w:val="1002"/>
        </w:numPr>
        <w:pStyle w:val="Compact"/>
      </w:pPr>
      <w:r>
        <w:t xml:space="preserve">☐ Temperature was continuously monitored for the whole lane, logger calibration current</w:t>
      </w:r>
    </w:p>
    <w:p>
      <w:pPr>
        <w:numPr>
          <w:ilvl w:val="0"/>
          <w:numId w:val="1002"/>
        </w:numPr>
        <w:pStyle w:val="Compact"/>
      </w:pPr>
      <w:r>
        <w:t xml:space="preserve">☐ Any excursion has a documented investigation and a product disposition decision</w:t>
      </w:r>
    </w:p>
    <w:p>
      <w:pPr>
        <w:numPr>
          <w:ilvl w:val="0"/>
          <w:numId w:val="1002"/>
        </w:numPr>
        <w:pStyle w:val="Compact"/>
      </w:pPr>
      <w:r>
        <w:t xml:space="preserve">☐ Falsified-medicines safety features intact where required (tamper-evidence, serialization)</w:t>
      </w:r>
    </w:p>
    <w:p>
      <w:pPr>
        <w:numPr>
          <w:ilvl w:val="0"/>
          <w:numId w:val="1002"/>
        </w:numPr>
        <w:pStyle w:val="Compact"/>
      </w:pPr>
      <w:r>
        <w:t xml:space="preserve">☐ Retention period for the record documented and met (GDP typically ≥ 5 years; confirm locally)</w:t>
      </w:r>
    </w:p>
    <w:bookmarkEnd w:id="22"/>
    <w:bookmarkStart w:id="23" w:name="X96f935720234b599e49bba195ecf09cd5d823c5"/>
    <w:p>
      <w:pPr>
        <w:pStyle w:val="Heading2"/>
      </w:pPr>
      <w:r>
        <w:t xml:space="preserve">Core GMP review points (where a batch record / release doc is in scope)</w:t>
      </w:r>
    </w:p>
    <w:p>
      <w:pPr>
        <w:numPr>
          <w:ilvl w:val="0"/>
          <w:numId w:val="1003"/>
        </w:numPr>
        <w:pStyle w:val="Compact"/>
      </w:pPr>
      <w:r>
        <w:t xml:space="preserve">☐ Batch record signed by the authorized/qualified person (QP for EU)</w:t>
      </w:r>
    </w:p>
    <w:p>
      <w:pPr>
        <w:numPr>
          <w:ilvl w:val="0"/>
          <w:numId w:val="1003"/>
        </w:numPr>
        <w:pStyle w:val="Compact"/>
      </w:pPr>
      <w:r>
        <w:t xml:space="preserve">☐ In-process and finished-product test results present and within specification</w:t>
      </w:r>
    </w:p>
    <w:p>
      <w:pPr>
        <w:numPr>
          <w:ilvl w:val="0"/>
          <w:numId w:val="1003"/>
        </w:numPr>
        <w:pStyle w:val="Compact"/>
      </w:pPr>
      <w:r>
        <w:t xml:space="preserve">☐ Deviations and CAPAs referenced and closed</w:t>
      </w:r>
    </w:p>
    <w:p>
      <w:pPr>
        <w:numPr>
          <w:ilvl w:val="0"/>
          <w:numId w:val="1003"/>
        </w:numPr>
        <w:pStyle w:val="Compact"/>
      </w:pPr>
      <w:r>
        <w:t xml:space="preserve">☐ Labeling and packaging reconciliation complete</w:t>
      </w:r>
    </w:p>
    <w:bookmarkEnd w:id="23"/>
    <w:bookmarkStart w:id="24" w:name="cold-chain-4.0-digital-record-points"/>
    <w:p>
      <w:pPr>
        <w:pStyle w:val="Heading2"/>
      </w:pPr>
      <w:r>
        <w:t xml:space="preserve">Cold Chain 4.0 / digital-record points</w:t>
      </w:r>
    </w:p>
    <w:p>
      <w:pPr>
        <w:numPr>
          <w:ilvl w:val="0"/>
          <w:numId w:val="1004"/>
        </w:numPr>
        <w:pStyle w:val="Compact"/>
      </w:pPr>
      <w:r>
        <w:t xml:space="preserve">☐ Data-logger file (not just a summary) archived and traceable to the shipment</w:t>
      </w:r>
    </w:p>
    <w:p>
      <w:pPr>
        <w:numPr>
          <w:ilvl w:val="0"/>
          <w:numId w:val="1004"/>
        </w:numPr>
        <w:pStyle w:val="Compact"/>
      </w:pPr>
      <w:r>
        <w:t xml:space="preserve">☐ Logger ID and calibration certificate reference on the record</w:t>
      </w:r>
    </w:p>
    <w:p>
      <w:pPr>
        <w:numPr>
          <w:ilvl w:val="0"/>
          <w:numId w:val="1004"/>
        </w:numPr>
        <w:pStyle w:val="Compact"/>
      </w:pPr>
      <w:r>
        <w:t xml:space="preserve">☐ No time gaps in the digital time-series; alarms acknowledged</w:t>
      </w:r>
    </w:p>
    <w:p>
      <w:pPr>
        <w:numPr>
          <w:ilvl w:val="0"/>
          <w:numId w:val="1004"/>
        </w:numPr>
        <w:pStyle w:val="Compact"/>
      </w:pPr>
      <w:r>
        <w:t xml:space="preserve">☐ Digital record immutable / audit-trailed (who changed what, when)</w:t>
      </w:r>
    </w:p>
    <w:bookmarkEnd w:id="24"/>
    <w:bookmarkStart w:id="25" w:name="common-findings"/>
    <w:p>
      <w:pPr>
        <w:pStyle w:val="Heading2"/>
      </w:pPr>
      <w:r>
        <w:t xml:space="preserve">Common findings</w:t>
      </w:r>
    </w:p>
    <w:p>
      <w:pPr>
        <w:numPr>
          <w:ilvl w:val="0"/>
          <w:numId w:val="1005"/>
        </w:numPr>
        <w:pStyle w:val="Compact"/>
      </w:pPr>
      <w:r>
        <w:t xml:space="preserve">🔴 Storage condition on paperwork is wider than the product label (e.g. label says 2–8 °C, record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ambient</w:t>
      </w:r>
      <w:r>
        <w:t xml:space="preserve">”</w:t>
      </w:r>
      <w:r>
        <w:t xml:space="preserve">) — Critical.</w:t>
      </w:r>
    </w:p>
    <w:p>
      <w:pPr>
        <w:numPr>
          <w:ilvl w:val="0"/>
          <w:numId w:val="1005"/>
        </w:numPr>
        <w:pStyle w:val="Compact"/>
      </w:pPr>
      <w:r>
        <w:t xml:space="preserve">🔴 Temperature excursion with no investigation or disposition — Critical.</w:t>
      </w:r>
    </w:p>
    <w:p>
      <w:pPr>
        <w:numPr>
          <w:ilvl w:val="0"/>
          <w:numId w:val="1005"/>
        </w:numPr>
        <w:pStyle w:val="Compact"/>
      </w:pPr>
      <w:r>
        <w:t xml:space="preserve">🔴 Expired lot, or expiry before delivery + minimum shelf life — Critical.</w:t>
      </w:r>
    </w:p>
    <w:p>
      <w:pPr>
        <w:numPr>
          <w:ilvl w:val="0"/>
          <w:numId w:val="1005"/>
        </w:numPr>
        <w:pStyle w:val="Compact"/>
      </w:pPr>
      <w:r>
        <w:t xml:space="preserve">🟡 Logger calibration certificate expired at ship date — Major.</w:t>
      </w:r>
    </w:p>
    <w:p>
      <w:pPr>
        <w:numPr>
          <w:ilvl w:val="0"/>
          <w:numId w:val="1005"/>
        </w:numPr>
        <w:pStyle w:val="Compact"/>
      </w:pPr>
      <w:r>
        <w:t xml:space="preserve">🟡 Batch number mismatch between CoA and shipping record — Major.</w:t>
      </w:r>
    </w:p>
    <w:p>
      <w:pPr>
        <w:numPr>
          <w:ilvl w:val="0"/>
          <w:numId w:val="1005"/>
        </w:numPr>
        <w:pStyle w:val="Compact"/>
      </w:pPr>
      <w:r>
        <w:t xml:space="preserve">🟢 Missing retention-period notation — Minor.</w:t>
      </w:r>
    </w:p>
    <w:bookmarkEnd w:id="25"/>
    <w:bookmarkStart w:id="26" w:name="sources"/>
    <w:p>
      <w:pPr>
        <w:pStyle w:val="Heading2"/>
      </w:pPr>
      <w:r>
        <w:t xml:space="preserve">Sources</w:t>
      </w:r>
    </w:p>
    <w:p>
      <w:pPr>
        <w:numPr>
          <w:ilvl w:val="0"/>
          <w:numId w:val="1006"/>
        </w:numPr>
        <w:pStyle w:val="Compact"/>
      </w:pPr>
      <w:r>
        <w:t xml:space="preserve">EU GDP Guidelines 2013/C 343/01: https://health.ec.europa.eu/medicinal-products/good-manufacturing-practice-and-good-distribution-practice_en</w:t>
      </w:r>
    </w:p>
    <w:p>
      <w:pPr>
        <w:numPr>
          <w:ilvl w:val="0"/>
          <w:numId w:val="1006"/>
        </w:numPr>
        <w:pStyle w:val="Compact"/>
      </w:pPr>
      <w:r>
        <w:t xml:space="preserve">FDA 21 CFR Parts 210 &amp; 211: https://www.ecfr.gov/current/title-21/chapter-I/subchapter-C/part-211</w:t>
      </w:r>
    </w:p>
    <w:p>
      <w:pPr>
        <w:numPr>
          <w:ilvl w:val="0"/>
          <w:numId w:val="1006"/>
        </w:numPr>
        <w:pStyle w:val="Compact"/>
      </w:pPr>
      <w:r>
        <w:t xml:space="preserve">WHO TRS 961 Annex 9 (storage &amp; distribution): https://www.who.int/publications/m/item/annex-9-trs-961</w:t>
      </w:r>
    </w:p>
    <w:p>
      <w:pPr>
        <w:numPr>
          <w:ilvl w:val="0"/>
          <w:numId w:val="1006"/>
        </w:numPr>
        <w:pStyle w:val="Compact"/>
      </w:pPr>
      <w:r>
        <w:t xml:space="preserve">USP &lt;1079&gt; Good Storage and Distribution Practices.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2026-08-30T01:43:30Z</dcterms:created>
  <dcterms:modified xsi:type="dcterms:W3CDTF">2026-08-30T01:43:30Z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