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5095c7e1e27e0122e9c3aa750119f40b18a877"/>
    <w:p>
      <w:pPr>
        <w:pStyle w:val="Heading1"/>
      </w:pPr>
      <w:r>
        <w:t xml:space="preserve">Biological Substances &amp; Infectious Materials — Shipping Reference</w:t>
      </w:r>
    </w:p>
    <w:p>
      <w:pPr>
        <w:pStyle w:val="FirstParagraph"/>
      </w:pPr>
      <w:r>
        <w:t xml:space="preserve">Purpose: Field-by-field reference for reviewing shipments of blood, blood products, diagnostic</w:t>
      </w:r>
      <w:r>
        <w:t xml:space="preserve"> </w:t>
      </w:r>
      <w:r>
        <w:t xml:space="preserve">specimens, and infectious substances (the</w:t>
      </w:r>
      <w:r>
        <w:t xml:space="preserve"> </w:t>
      </w:r>
      <w:r>
        <w:t xml:space="preserve">“</w:t>
      </w:r>
      <w:r>
        <w:t xml:space="preserve">bloodborne pathogens</w:t>
      </w:r>
      <w:r>
        <w:t xml:space="preserve">”</w:t>
      </w:r>
      <w:r>
        <w:t xml:space="preserve"> </w:t>
      </w:r>
      <w:r>
        <w:t xml:space="preserve">lane). Original summary built from</w:t>
      </w:r>
      <w:r>
        <w:t xml:space="preserve"> </w:t>
      </w:r>
      <w:r>
        <w:t xml:space="preserve">IATA DGR Section 6.3 / PI 620 &amp; PI 650, ICAO TI, 49 CFR 173.134/173.199, and OSHA Bloodborne</w:t>
      </w:r>
      <w:r>
        <w:t xml:space="preserve"> </w:t>
      </w:r>
      <w:r>
        <w:t xml:space="preserve">Pathogens Standard 29 CFR 1910.1030. Not a copy of any proprietary form.</w:t>
      </w:r>
    </w:p>
    <w:bookmarkStart w:id="20" w:name="X833d4d09b8f8314b1549a8dd1f871e2e7d696bd"/>
    <w:p>
      <w:pPr>
        <w:pStyle w:val="Heading2"/>
      </w:pPr>
      <w:r>
        <w:t xml:space="preserve">Step 1 — Classify the material correctly (this drives everything)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 A — UN2814</w:t>
      </w:r>
      <w:r>
        <w:t xml:space="preserve"> </w:t>
      </w:r>
      <w:r>
        <w:t xml:space="preserve">(infectious to humans) /</w:t>
      </w:r>
      <w:r>
        <w:t xml:space="preserve"> </w:t>
      </w:r>
      <w:r>
        <w:rPr>
          <w:bCs/>
          <w:b/>
        </w:rPr>
        <w:t xml:space="preserve">UN2900</w:t>
      </w:r>
      <w:r>
        <w:t xml:space="preserve"> </w:t>
      </w:r>
      <w:r>
        <w:t xml:space="preserve">(infectious to animals): capable of</w:t>
      </w:r>
      <w:r>
        <w:t xml:space="preserve"> </w:t>
      </w:r>
      <w:r>
        <w:t xml:space="preserve">causing permanent disability or life-threatening/fatal disease. Proper shipping name:</w:t>
      </w:r>
      <w:r>
        <w:t xml:space="preserve"> </w:t>
      </w:r>
      <w:r>
        <w:t xml:space="preserve">“</w:t>
      </w:r>
      <w:r>
        <w:t xml:space="preserve">Infectious</w:t>
      </w:r>
      <w:r>
        <w:t xml:space="preserve"> </w:t>
      </w:r>
      <w:r>
        <w:t xml:space="preserve">substance, affecting humans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…affecting animals</w:t>
      </w:r>
      <w:r>
        <w:t xml:space="preserve">”</w:t>
      </w:r>
      <w:r>
        <w:t xml:space="preserve">. Packing Instruction</w:t>
      </w:r>
      <w:r>
        <w:t xml:space="preserve"> </w:t>
      </w:r>
      <w:r>
        <w:rPr>
          <w:bCs/>
          <w:b/>
        </w:rPr>
        <w:t xml:space="preserve">PI 620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 B — UN3373</w:t>
      </w:r>
      <w:r>
        <w:t xml:space="preserve">: an infectious substance not meeting Category A criteria. Proper shipping</w:t>
      </w:r>
      <w:r>
        <w:t xml:space="preserve"> </w:t>
      </w:r>
      <w:r>
        <w:t xml:space="preserve">name:</w:t>
      </w:r>
      <w:r>
        <w:t xml:space="preserve"> </w:t>
      </w:r>
      <w:r>
        <w:t xml:space="preserve">“</w:t>
      </w:r>
      <w:r>
        <w:t xml:space="preserve">Biological substance, Category B</w:t>
      </w:r>
      <w:r>
        <w:t xml:space="preserve">”</w:t>
      </w:r>
      <w:r>
        <w:t xml:space="preserve">. Packing Instruction</w:t>
      </w:r>
      <w:r>
        <w:t xml:space="preserve"> </w:t>
      </w:r>
      <w:r>
        <w:rPr>
          <w:bCs/>
          <w:b/>
        </w:rPr>
        <w:t xml:space="preserve">PI 650</w:t>
      </w:r>
      <w:r>
        <w:t xml:space="preserve">. This is the common</w:t>
      </w:r>
      <w:r>
        <w:t xml:space="preserve"> </w:t>
      </w:r>
      <w:r>
        <w:t xml:space="preserve">diagnostic-specimen category.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Exempt human/animal specimen</w:t>
      </w:r>
      <w:r>
        <w:t xml:space="preserve">: minimal likelihood of pathogens present — marked</w:t>
      </w:r>
      <w:r>
        <w:t xml:space="preserve"> </w:t>
      </w:r>
      <w:r>
        <w:t xml:space="preserve">“</w:t>
      </w:r>
      <w:r>
        <w:t xml:space="preserve">Exempt human</w:t>
      </w:r>
      <w:r>
        <w:t xml:space="preserve"> </w:t>
      </w:r>
      <w:r>
        <w:t xml:space="preserve">specimen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Exempt animal specimen</w:t>
      </w:r>
      <w:r>
        <w:t xml:space="preserve">”</w:t>
      </w:r>
      <w:r>
        <w:t xml:space="preserve">, not regulated as DG (but still packed as triple packaging).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Genetically modified micro-organisms/organisms</w:t>
      </w:r>
      <w:r>
        <w:t xml:space="preserve"> </w:t>
      </w:r>
      <w:r>
        <w:t xml:space="preserve">— UN3245 where applicable.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Dry ice used as coolant</w:t>
      </w:r>
      <w:r>
        <w:t xml:space="preserve"> </w:t>
      </w:r>
      <w:r>
        <w:t xml:space="preserve">— still UN1845, declared separately (see</w:t>
      </w:r>
      <w:r>
        <w:t xml:space="preserve"> </w:t>
      </w:r>
      <w:r>
        <w:rPr>
          <w:rStyle w:val="VerbatimChar"/>
        </w:rPr>
        <w:t xml:space="preserve">cold-chain/03-dry-ice/</w:t>
      </w:r>
      <w:r>
        <w:t xml:space="preserve">).</w:t>
      </w:r>
    </w:p>
    <w:bookmarkEnd w:id="20"/>
    <w:bookmarkStart w:id="21" w:name="X71537b8b9efdc238d89de34abc937b6a2087cbf"/>
    <w:p>
      <w:pPr>
        <w:pStyle w:val="Heading2"/>
      </w:pPr>
      <w:r>
        <w:t xml:space="preserve">Step 2 — Triple packaging (required for A, B, and exempt)</w:t>
      </w:r>
    </w:p>
    <w:p>
      <w:pPr>
        <w:numPr>
          <w:ilvl w:val="0"/>
          <w:numId w:val="1002"/>
        </w:numPr>
        <w:pStyle w:val="Compact"/>
      </w:pPr>
      <w:r>
        <w:t xml:space="preserve">Primary receptacle (leak-proof, watertight) — for liquids, absorbent material between primary and</w:t>
      </w:r>
      <w:r>
        <w:t xml:space="preserve"> </w:t>
      </w:r>
      <w:r>
        <w:t xml:space="preserve">secondary sufficient to absorb the entire contents.</w:t>
      </w:r>
    </w:p>
    <w:p>
      <w:pPr>
        <w:numPr>
          <w:ilvl w:val="0"/>
          <w:numId w:val="1002"/>
        </w:numPr>
        <w:pStyle w:val="Compact"/>
      </w:pPr>
      <w:r>
        <w:t xml:space="preserve">Secondary packaging (leak-proof, watertight).</w:t>
      </w:r>
    </w:p>
    <w:p>
      <w:pPr>
        <w:numPr>
          <w:ilvl w:val="0"/>
          <w:numId w:val="1002"/>
        </w:numPr>
        <w:pStyle w:val="Compact"/>
      </w:pPr>
      <w:r>
        <w:t xml:space="preserve">Rigid outer packaging with one surface ≥ 100 mm × 100 mm.</w:t>
      </w:r>
    </w:p>
    <w:p>
      <w:pPr>
        <w:numPr>
          <w:ilvl w:val="0"/>
          <w:numId w:val="1002"/>
        </w:numPr>
        <w:pStyle w:val="Compact"/>
      </w:pPr>
      <w:r>
        <w:t xml:space="preserve">Category A must use packaging certified to</w:t>
      </w:r>
      <w:r>
        <w:t xml:space="preserve"> </w:t>
      </w:r>
      <w:r>
        <w:rPr>
          <w:bCs/>
          <w:b/>
        </w:rPr>
        <w:t xml:space="preserve">UN Class 6.2 / PI 620 (P620)</w:t>
      </w:r>
      <w:r>
        <w:t xml:space="preserve"> </w:t>
      </w:r>
      <w:r>
        <w:t xml:space="preserve">and pass the drop test.</w:t>
      </w:r>
    </w:p>
    <w:p>
      <w:pPr>
        <w:numPr>
          <w:ilvl w:val="0"/>
          <w:numId w:val="1002"/>
        </w:numPr>
        <w:pStyle w:val="Compact"/>
      </w:pPr>
      <w:r>
        <w:t xml:space="preserve">Category B (PI 650): at least one surface of the outer package must display the UN3373 mark</w:t>
      </w:r>
      <w:r>
        <w:t xml:space="preserve"> </w:t>
      </w:r>
      <w:r>
        <w:t xml:space="preserve">(diamond, side ≥ 50 mm); proper shipping name</w:t>
      </w:r>
      <w:r>
        <w:t xml:space="preserve"> </w:t>
      </w:r>
      <w:r>
        <w:t xml:space="preserve">“</w:t>
      </w:r>
      <w:r>
        <w:t xml:space="preserve">Biological substance, Category B</w:t>
      </w:r>
      <w:r>
        <w:t xml:space="preserve">”</w:t>
      </w:r>
      <w:r>
        <w:t xml:space="preserve"> </w:t>
      </w:r>
      <w:r>
        <w:t xml:space="preserve">next to it.</w:t>
      </w:r>
    </w:p>
    <w:bookmarkEnd w:id="21"/>
    <w:bookmarkStart w:id="22" w:name="step-3-marks-labels-documentation"/>
    <w:p>
      <w:pPr>
        <w:pStyle w:val="Heading2"/>
      </w:pPr>
      <w:r>
        <w:t xml:space="preserve">Step 3 — Marks, labels, documentation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96"/>
        <w:gridCol w:w="3885"/>
        <w:gridCol w:w="31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A (UN2814/2900)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B (UN3373)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Hazard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6.2 Infectious Substance diamond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6.2 diamond; UN3373 mark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UN2814 / UN2900 next to PSN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UN3373 diamond 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Shipper’s Declaration (DGD)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 Waybill nature of goods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PSN + UN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Biological substance, Category B, UN3373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Itemized list of 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(inside secondary)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24-hr emergency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 by DGR, good 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Responsible person +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on the outer package</w:t>
            </w:r>
          </w:p>
        </w:tc>
      </w:tr>
    </w:tbl>
    <w:bookmarkEnd w:id="22"/>
    <w:bookmarkStart w:id="23" w:name="step-4-cold-chain-osha-overlap"/>
    <w:p>
      <w:pPr>
        <w:pStyle w:val="Heading2"/>
      </w:pPr>
      <w:r>
        <w:t xml:space="preserve">Step 4 — Cold chain / OSHA overlap</w:t>
      </w:r>
    </w:p>
    <w:p>
      <w:pPr>
        <w:numPr>
          <w:ilvl w:val="0"/>
          <w:numId w:val="1003"/>
        </w:numPr>
        <w:pStyle w:val="Compact"/>
      </w:pPr>
      <w:r>
        <w:t xml:space="preserve">If shipped chilled/frozen with dry ice: add UN1845, net dry ice weight in</w:t>
      </w:r>
      <w:r>
        <w:t xml:space="preserve"> </w:t>
      </w:r>
      <w:r>
        <w:rPr>
          <w:bCs/>
          <w:b/>
        </w:rPr>
        <w:t xml:space="preserve">kg</w:t>
      </w:r>
      <w:r>
        <w:t xml:space="preserve">, Class 9 handling,</w:t>
      </w:r>
      <w:r>
        <w:t xml:space="preserve"> </w:t>
      </w:r>
      <w:r>
        <w:t xml:space="preserve">vented packaging (</w:t>
      </w:r>
      <w:r>
        <w:rPr>
          <w:rStyle w:val="VerbatimChar"/>
        </w:rPr>
        <w:t xml:space="preserve">cold-chain/03-dry-ice/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Temperature-sensitive biologicals also carry a temp log — audit against</w:t>
      </w:r>
      <w:r>
        <w:t xml:space="preserve"> </w:t>
      </w:r>
      <w:r>
        <w:rPr>
          <w:rStyle w:val="VerbatimChar"/>
        </w:rPr>
        <w:t xml:space="preserve">pharma/01-gdp-gmp/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OSHA 29 CFR 1910.1030 governs the handling side (labeling of blood/OPIM containers as biohazard,</w:t>
      </w:r>
      <w:r>
        <w:t xml:space="preserve"> </w:t>
      </w:r>
      <w:r>
        <w:t xml:space="preserve">handler training) — flag if internal handling documentation is absent.</w:t>
      </w:r>
    </w:p>
    <w:bookmarkEnd w:id="23"/>
    <w:bookmarkStart w:id="24" w:name="review-practice-checklist"/>
    <w:p>
      <w:pPr>
        <w:pStyle w:val="Heading2"/>
      </w:pPr>
      <w:r>
        <w:t xml:space="preserve">Review / practice checklist</w:t>
      </w:r>
    </w:p>
    <w:p>
      <w:pPr>
        <w:numPr>
          <w:ilvl w:val="0"/>
          <w:numId w:val="1004"/>
        </w:numPr>
        <w:pStyle w:val="Compact"/>
      </w:pPr>
      <w:r>
        <w:t xml:space="preserve">☐ Classification correct (A vs B vs exempt) — the single most important call</w:t>
      </w:r>
    </w:p>
    <w:p>
      <w:pPr>
        <w:numPr>
          <w:ilvl w:val="0"/>
          <w:numId w:val="1004"/>
        </w:numPr>
        <w:pStyle w:val="Compact"/>
      </w:pPr>
      <w:r>
        <w:t xml:space="preserve">☐ Correct UN number and proper shipping name for the classification</w:t>
      </w:r>
    </w:p>
    <w:p>
      <w:pPr>
        <w:numPr>
          <w:ilvl w:val="0"/>
          <w:numId w:val="1004"/>
        </w:numPr>
        <w:pStyle w:val="Compact"/>
      </w:pPr>
      <w:r>
        <w:t xml:space="preserve">☐ Category A: DGD present, signed, PI 620 packaging certified; Category B: NO DGD, UN3373 mark present</w:t>
      </w:r>
    </w:p>
    <w:p>
      <w:pPr>
        <w:numPr>
          <w:ilvl w:val="0"/>
          <w:numId w:val="1004"/>
        </w:numPr>
        <w:pStyle w:val="Compact"/>
      </w:pPr>
      <w:r>
        <w:t xml:space="preserve">☐ Triple packaging described; absorbent present for liquids</w:t>
      </w:r>
    </w:p>
    <w:p>
      <w:pPr>
        <w:numPr>
          <w:ilvl w:val="0"/>
          <w:numId w:val="1004"/>
        </w:numPr>
        <w:pStyle w:val="Compact"/>
      </w:pPr>
      <w:r>
        <w:t xml:space="preserve">☐ Outer package ≥ 100 × 100 mm; UN3373 mark ≥ 50 mm side (Cat B)</w:t>
      </w:r>
    </w:p>
    <w:p>
      <w:pPr>
        <w:numPr>
          <w:ilvl w:val="0"/>
          <w:numId w:val="1004"/>
        </w:numPr>
        <w:pStyle w:val="Compact"/>
      </w:pPr>
      <w:r>
        <w:t xml:space="preserve">☐ Responsible person name + 24-hr phone on the package</w:t>
      </w:r>
    </w:p>
    <w:p>
      <w:pPr>
        <w:numPr>
          <w:ilvl w:val="0"/>
          <w:numId w:val="1004"/>
        </w:numPr>
        <w:pStyle w:val="Compact"/>
      </w:pPr>
      <w:r>
        <w:t xml:space="preserve">☐ Dry ice (if used) declared as UN1845 with net kg and Class 9 handling</w:t>
      </w:r>
    </w:p>
    <w:p>
      <w:pPr>
        <w:numPr>
          <w:ilvl w:val="0"/>
          <w:numId w:val="1004"/>
        </w:numPr>
        <w:pStyle w:val="Compact"/>
      </w:pPr>
      <w:r>
        <w:t xml:space="preserve">☐ Shipper/consignee consistent across AWB, DGD (if any), and packing list</w:t>
      </w:r>
    </w:p>
    <w:p>
      <w:pPr>
        <w:numPr>
          <w:ilvl w:val="0"/>
          <w:numId w:val="1004"/>
        </w:numPr>
        <w:pStyle w:val="Compact"/>
      </w:pPr>
      <w:r>
        <w:t xml:space="preserve">☐ Import permit / sender’s permit present where the destination requires one</w:t>
      </w:r>
    </w:p>
    <w:bookmarkEnd w:id="24"/>
    <w:bookmarkStart w:id="25" w:name="common-findings"/>
    <w:p>
      <w:pPr>
        <w:pStyle w:val="Heading2"/>
      </w:pPr>
      <w:r>
        <w:t xml:space="preserve">Common findings</w:t>
      </w:r>
    </w:p>
    <w:p>
      <w:pPr>
        <w:numPr>
          <w:ilvl w:val="0"/>
          <w:numId w:val="1005"/>
        </w:numPr>
        <w:pStyle w:val="Compact"/>
      </w:pPr>
      <w:r>
        <w:t xml:space="preserve">🔴 Category A shipment tendered without a Shipper’s Declaration — Critical.</w:t>
      </w:r>
    </w:p>
    <w:p>
      <w:pPr>
        <w:numPr>
          <w:ilvl w:val="0"/>
          <w:numId w:val="1005"/>
        </w:numPr>
        <w:pStyle w:val="Compact"/>
      </w:pPr>
      <w:r>
        <w:t xml:space="preserve">🔴 Infectious substance mis-classified as UN3373 when it meets Category A criteria — Critical.</w:t>
      </w:r>
    </w:p>
    <w:p>
      <w:pPr>
        <w:numPr>
          <w:ilvl w:val="0"/>
          <w:numId w:val="1005"/>
        </w:numPr>
        <w:pStyle w:val="Compact"/>
      </w:pPr>
      <w:r>
        <w:t xml:space="preserve">🔴 No absorbent material for a liquid primary receptacle — Critical (leak risk).</w:t>
      </w:r>
    </w:p>
    <w:p>
      <w:pPr>
        <w:numPr>
          <w:ilvl w:val="0"/>
          <w:numId w:val="1005"/>
        </w:numPr>
        <w:pStyle w:val="Compact"/>
      </w:pPr>
      <w:r>
        <w:t xml:space="preserve">🟡 UN3373 mark under 50 mm or missing proper shipping name beside it — Major.</w:t>
      </w:r>
    </w:p>
    <w:p>
      <w:pPr>
        <w:numPr>
          <w:ilvl w:val="0"/>
          <w:numId w:val="1005"/>
        </w:numPr>
        <w:pStyle w:val="Compact"/>
      </w:pPr>
      <w:r>
        <w:t xml:space="preserve">🟡 Responsible-person phone number missing from outer package — Major.</w:t>
      </w:r>
    </w:p>
    <w:p>
      <w:pPr>
        <w:numPr>
          <w:ilvl w:val="0"/>
          <w:numId w:val="1005"/>
        </w:numPr>
        <w:pStyle w:val="Compact"/>
      </w:pPr>
      <w:r>
        <w:t xml:space="preserve">🟢 Itemized content list omitted on a Category B shipment — Minor.</w:t>
      </w:r>
    </w:p>
    <w:bookmarkEnd w:id="25"/>
    <w:bookmarkStart w:id="26" w:name="sources"/>
    <w:p>
      <w:pPr>
        <w:pStyle w:val="Heading2"/>
      </w:pPr>
      <w:r>
        <w:t xml:space="preserve">Sources</w:t>
      </w:r>
    </w:p>
    <w:p>
      <w:pPr>
        <w:numPr>
          <w:ilvl w:val="0"/>
          <w:numId w:val="1006"/>
        </w:numPr>
        <w:pStyle w:val="Compact"/>
      </w:pPr>
      <w:r>
        <w:t xml:space="preserve">IATA DGR Infectious Substances program page: https://www.iata.org/en/programs/cargo/dgr/infectious-substances/</w:t>
      </w:r>
    </w:p>
    <w:p>
      <w:pPr>
        <w:numPr>
          <w:ilvl w:val="0"/>
          <w:numId w:val="1006"/>
        </w:numPr>
        <w:pStyle w:val="Compact"/>
      </w:pPr>
      <w:r>
        <w:t xml:space="preserve">49 CFR 173.134 (Class 6.2 definitions): https://www.ecfr.gov/current/title-49/subtitle-B/chapter-I/subchapter-C/part-173/subpart-D/section-173.134</w:t>
      </w:r>
    </w:p>
    <w:p>
      <w:pPr>
        <w:numPr>
          <w:ilvl w:val="0"/>
          <w:numId w:val="1006"/>
        </w:numPr>
        <w:pStyle w:val="Compact"/>
      </w:pPr>
      <w:r>
        <w:t xml:space="preserve">OSHA Bloodborne Pathogens 29 CFR 1910.1030: https://www.osha.gov/laws-regs/regulations/standardnumber/1910/1910.1030</w:t>
      </w:r>
    </w:p>
    <w:p>
      <w:pPr>
        <w:numPr>
          <w:ilvl w:val="0"/>
          <w:numId w:val="1006"/>
        </w:numPr>
        <w:pStyle w:val="Compact"/>
      </w:pPr>
      <w:r>
        <w:t xml:space="preserve">WHO Guidance on regulations for the transport of infectious substances: https://www.who.int/publications/i/item/9789240010086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2026-08-30T01:44:22Z</dcterms:created>
  <dcterms:modified xsi:type="dcterms:W3CDTF">2026-08-30T01:44:22Z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