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33facc5ece651f15cf0e480c0b17288345c6c0"/>
    <w:p>
      <w:pPr>
        <w:pStyle w:val="Heading1"/>
      </w:pPr>
      <w:r>
        <w:t xml:space="preserve">Bill of Lading (Ocean B/L) — Reference Template</w:t>
      </w:r>
    </w:p>
    <w:p>
      <w:pPr>
        <w:pStyle w:val="FirstParagraph"/>
      </w:pPr>
      <w:r>
        <w:t xml:space="preserve">Purpose: Field-by-field reference for reviewing an ocean Bill of Lading. Written from common</w:t>
      </w:r>
      <w:r>
        <w:t xml:space="preserve"> </w:t>
      </w:r>
      <w:r>
        <w:t xml:space="preserve">carrier/NVOCC B/L layouts and the requirements of the US COGSA and the Hague-Visby Rules — original</w:t>
      </w:r>
      <w:r>
        <w:t xml:space="preserve"> </w:t>
      </w:r>
      <w:r>
        <w:t xml:space="preserve">summary, not a copy of any single proprietary form. Use alongside the AWB reference for air.</w:t>
      </w:r>
    </w:p>
    <w:bookmarkStart w:id="20" w:name="X874e5e7bdf75e0f6d0311e26433c5a9d9fe4a29"/>
    <w:p>
      <w:pPr>
        <w:pStyle w:val="Heading2"/>
      </w:pPr>
      <w:r>
        <w:t xml:space="preserve">Bill of Lading Type (confirm which one this is)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Straight B/L</w:t>
      </w:r>
      <w:r>
        <w:t xml:space="preserve"> </w:t>
      </w:r>
      <w:r>
        <w:t xml:space="preserve">— consigned to a named party, non-negotiable.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 B/L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to order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to order of [bank]</w:t>
      </w:r>
      <w:r>
        <w:t xml:space="preserve">”</w:t>
      </w:r>
      <w:r>
        <w:t xml:space="preserve">, negotiable, transferable by endorsement.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Bearer B/L</w:t>
      </w:r>
      <w:r>
        <w:t xml:space="preserve"> </w:t>
      </w:r>
      <w:r>
        <w:t xml:space="preserve">— deliverable to whoever holds it (rare, high risk).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Seaway bill / Express release</w:t>
      </w:r>
      <w:r>
        <w:t xml:space="preserve"> </w:t>
      </w:r>
      <w:r>
        <w:t xml:space="preserve">— non-negotiable, no original needed for release.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Master B/L (MBL)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House B/L (HBL)</w:t>
      </w:r>
      <w:r>
        <w:t xml:space="preserve"> </w:t>
      </w:r>
      <w:r>
        <w:t xml:space="preserve">— MBL issued by the carrier to the NVOCC/forwarder;</w:t>
      </w:r>
      <w:r>
        <w:t xml:space="preserve"> </w:t>
      </w:r>
      <w:r>
        <w:t xml:space="preserve">HBL issued by the forwarder to the actual shipper. Confirm they reconcile.</w:t>
      </w:r>
    </w:p>
    <w:bookmarkEnd w:id="20"/>
    <w:bookmarkStart w:id="21" w:name="header-identification"/>
    <w:p>
      <w:pPr>
        <w:pStyle w:val="Heading2"/>
      </w:pPr>
      <w:r>
        <w:t xml:space="preserve">Header / Identification</w:t>
      </w:r>
    </w:p>
    <w:p>
      <w:pPr>
        <w:numPr>
          <w:ilvl w:val="0"/>
          <w:numId w:val="1002"/>
        </w:numPr>
        <w:pStyle w:val="Compact"/>
      </w:pPr>
      <w:r>
        <w:t xml:space="preserve">B/L number</w:t>
      </w:r>
    </w:p>
    <w:p>
      <w:pPr>
        <w:numPr>
          <w:ilvl w:val="0"/>
          <w:numId w:val="1002"/>
        </w:numPr>
        <w:pStyle w:val="Compact"/>
      </w:pPr>
      <w:r>
        <w:t xml:space="preserve">Booking number / export references</w:t>
      </w:r>
    </w:p>
    <w:p>
      <w:pPr>
        <w:numPr>
          <w:ilvl w:val="0"/>
          <w:numId w:val="1002"/>
        </w:numPr>
        <w:pStyle w:val="Compact"/>
      </w:pPr>
      <w:r>
        <w:t xml:space="preserve">Shipper’s reference / forwarder’s reference</w:t>
      </w:r>
    </w:p>
    <w:p>
      <w:pPr>
        <w:numPr>
          <w:ilvl w:val="0"/>
          <w:numId w:val="1002"/>
        </w:numPr>
        <w:pStyle w:val="Compact"/>
      </w:pPr>
      <w:r>
        <w:t xml:space="preserve">Carrier name (and SCAC code)</w:t>
      </w:r>
    </w:p>
    <w:p>
      <w:pPr>
        <w:numPr>
          <w:ilvl w:val="0"/>
          <w:numId w:val="1002"/>
        </w:numPr>
        <w:pStyle w:val="Compact"/>
      </w:pPr>
      <w:r>
        <w:t xml:space="preserve">Vessel name and voyage number</w:t>
      </w:r>
    </w:p>
    <w:bookmarkEnd w:id="21"/>
    <w:bookmarkStart w:id="22" w:name="party-information"/>
    <w:p>
      <w:pPr>
        <w:pStyle w:val="Heading2"/>
      </w:pPr>
      <w:r>
        <w:t xml:space="preserve">Party Information</w:t>
      </w:r>
    </w:p>
    <w:p>
      <w:pPr>
        <w:numPr>
          <w:ilvl w:val="0"/>
          <w:numId w:val="1003"/>
        </w:numPr>
        <w:pStyle w:val="Compact"/>
      </w:pPr>
      <w:r>
        <w:t xml:space="preserve">Shipper (full name, address)</w:t>
      </w:r>
    </w:p>
    <w:p>
      <w:pPr>
        <w:numPr>
          <w:ilvl w:val="0"/>
          <w:numId w:val="1003"/>
        </w:numPr>
        <w:pStyle w:val="Compact"/>
      </w:pPr>
      <w:r>
        <w:t xml:space="preserve">Consignee (full name, address — or</w:t>
      </w:r>
      <w:r>
        <w:t xml:space="preserve"> </w:t>
      </w:r>
      <w:r>
        <w:t xml:space="preserve">“</w:t>
      </w:r>
      <w:r>
        <w:t xml:space="preserve">TO ORDER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TO ORDER OF [bank]</w:t>
      </w:r>
      <w:r>
        <w:t xml:space="preserve">”</w:t>
      </w:r>
      <w:r>
        <w:t xml:space="preserve"> </w:t>
      </w:r>
      <w:r>
        <w:t xml:space="preserve">for a negotiable B/L)</w:t>
      </w:r>
    </w:p>
    <w:p>
      <w:pPr>
        <w:numPr>
          <w:ilvl w:val="0"/>
          <w:numId w:val="1003"/>
        </w:numPr>
        <w:pStyle w:val="Compact"/>
      </w:pPr>
      <w:r>
        <w:t xml:space="preserve">Notify party (name, address — often the same as consignee or a customs broker)</w:t>
      </w:r>
    </w:p>
    <w:bookmarkEnd w:id="22"/>
    <w:bookmarkStart w:id="23" w:name="routing"/>
    <w:p>
      <w:pPr>
        <w:pStyle w:val="Heading2"/>
      </w:pPr>
      <w:r>
        <w:t xml:space="preserve">Routing</w:t>
      </w:r>
    </w:p>
    <w:p>
      <w:pPr>
        <w:numPr>
          <w:ilvl w:val="0"/>
          <w:numId w:val="1004"/>
        </w:numPr>
        <w:pStyle w:val="Compact"/>
      </w:pPr>
      <w:r>
        <w:t xml:space="preserve">Place of receipt</w:t>
      </w:r>
    </w:p>
    <w:p>
      <w:pPr>
        <w:numPr>
          <w:ilvl w:val="0"/>
          <w:numId w:val="1004"/>
        </w:numPr>
        <w:pStyle w:val="Compact"/>
      </w:pPr>
      <w:r>
        <w:t xml:space="preserve">Port of loading (POL)</w:t>
      </w:r>
    </w:p>
    <w:p>
      <w:pPr>
        <w:numPr>
          <w:ilvl w:val="0"/>
          <w:numId w:val="1004"/>
        </w:numPr>
        <w:pStyle w:val="Compact"/>
      </w:pPr>
      <w:r>
        <w:t xml:space="preserve">Port of discharge (POD)</w:t>
      </w:r>
    </w:p>
    <w:p>
      <w:pPr>
        <w:numPr>
          <w:ilvl w:val="0"/>
          <w:numId w:val="1004"/>
        </w:numPr>
        <w:pStyle w:val="Compact"/>
      </w:pPr>
      <w:r>
        <w:t xml:space="preserve">Place of delivery (final destination)</w:t>
      </w:r>
    </w:p>
    <w:p>
      <w:pPr>
        <w:numPr>
          <w:ilvl w:val="0"/>
          <w:numId w:val="1004"/>
        </w:numPr>
        <w:pStyle w:val="Compact"/>
      </w:pPr>
      <w:r>
        <w:t xml:space="preserve">Pre-carriage by / vessel / voyage</w:t>
      </w:r>
    </w:p>
    <w:bookmarkEnd w:id="23"/>
    <w:bookmarkStart w:id="24" w:name="cargo-details"/>
    <w:p>
      <w:pPr>
        <w:pStyle w:val="Heading2"/>
      </w:pPr>
      <w:r>
        <w:t xml:space="preserve">Cargo Details</w:t>
      </w:r>
    </w:p>
    <w:p>
      <w:pPr>
        <w:numPr>
          <w:ilvl w:val="0"/>
          <w:numId w:val="1005"/>
        </w:numPr>
        <w:pStyle w:val="Compact"/>
      </w:pPr>
      <w:r>
        <w:t xml:space="preserve">Number and kind of packages</w:t>
      </w:r>
    </w:p>
    <w:p>
      <w:pPr>
        <w:numPr>
          <w:ilvl w:val="0"/>
          <w:numId w:val="1005"/>
        </w:numPr>
        <w:pStyle w:val="Compact"/>
      </w:pPr>
      <w:r>
        <w:t xml:space="preserve">Container number(s) and seal number(s)</w:t>
      </w:r>
    </w:p>
    <w:p>
      <w:pPr>
        <w:numPr>
          <w:ilvl w:val="0"/>
          <w:numId w:val="1005"/>
        </w:numPr>
        <w:pStyle w:val="Compact"/>
      </w:pPr>
      <w:r>
        <w:t xml:space="preserve">Marks and numbers</w:t>
      </w:r>
    </w:p>
    <w:p>
      <w:pPr>
        <w:numPr>
          <w:ilvl w:val="0"/>
          <w:numId w:val="1005"/>
        </w:numPr>
        <w:pStyle w:val="Compact"/>
      </w:pPr>
      <w:r>
        <w:t xml:space="preserve">Description of goods</w:t>
      </w:r>
    </w:p>
    <w:p>
      <w:pPr>
        <w:numPr>
          <w:ilvl w:val="0"/>
          <w:numId w:val="1005"/>
        </w:numPr>
        <w:pStyle w:val="Compact"/>
      </w:pPr>
      <w:r>
        <w:t xml:space="preserve">Gross weight (kg) and measurement (CBM)</w:t>
      </w:r>
    </w:p>
    <w:p>
      <w:pPr>
        <w:numPr>
          <w:ilvl w:val="0"/>
          <w:numId w:val="1005"/>
        </w:numPr>
        <w:pStyle w:val="Compact"/>
      </w:pPr>
      <w:r>
        <w:t xml:space="preserve">HS code (where shown)</w:t>
      </w:r>
    </w:p>
    <w:bookmarkEnd w:id="24"/>
    <w:bookmarkStart w:id="25" w:name="freight-and-charges"/>
    <w:p>
      <w:pPr>
        <w:pStyle w:val="Heading2"/>
      </w:pPr>
      <w:r>
        <w:t xml:space="preserve">Freight and Charges</w:t>
      </w:r>
    </w:p>
    <w:p>
      <w:pPr>
        <w:numPr>
          <w:ilvl w:val="0"/>
          <w:numId w:val="1006"/>
        </w:numPr>
        <w:pStyle w:val="Compact"/>
      </w:pPr>
      <w:r>
        <w:t xml:space="preserve">Freight prepaid or freight collect (must be explicit)</w:t>
      </w:r>
    </w:p>
    <w:p>
      <w:pPr>
        <w:numPr>
          <w:ilvl w:val="0"/>
          <w:numId w:val="1006"/>
        </w:numPr>
        <w:pStyle w:val="Compact"/>
      </w:pPr>
      <w:r>
        <w:t xml:space="preserve">Charges breakdown</w:t>
      </w:r>
    </w:p>
    <w:p>
      <w:pPr>
        <w:numPr>
          <w:ilvl w:val="0"/>
          <w:numId w:val="1006"/>
        </w:numPr>
        <w:pStyle w:val="Compact"/>
      </w:pPr>
      <w:r>
        <w:t xml:space="preserve">Currency</w:t>
      </w:r>
    </w:p>
    <w:bookmarkEnd w:id="25"/>
    <w:bookmarkStart w:id="26" w:name="declarations-and-signatures"/>
    <w:p>
      <w:pPr>
        <w:pStyle w:val="Heading2"/>
      </w:pPr>
      <w:r>
        <w:t xml:space="preserve">Declarations and Signatures</w:t>
      </w:r>
    </w:p>
    <w:p>
      <w:pPr>
        <w:numPr>
          <w:ilvl w:val="0"/>
          <w:numId w:val="1007"/>
        </w:numPr>
        <w:pStyle w:val="Compact"/>
      </w:pPr>
      <w:r>
        <w:t xml:space="preserve">Number of original B/Ls issued (</w:t>
      </w:r>
      <w:r>
        <w:t xml:space="preserve">“</w:t>
      </w:r>
      <w:r>
        <w:t xml:space="preserve">number of originals</w:t>
      </w:r>
      <w:r>
        <w:t xml:space="preserve">”</w:t>
      </w:r>
      <w:r>
        <w:t xml:space="preserve"> </w:t>
      </w:r>
      <w:r>
        <w:t xml:space="preserve">— critical for release)</w:t>
      </w:r>
    </w:p>
    <w:p>
      <w:pPr>
        <w:numPr>
          <w:ilvl w:val="0"/>
          <w:numId w:val="1007"/>
        </w:numPr>
        <w:pStyle w:val="Compact"/>
      </w:pPr>
      <w:r>
        <w:t xml:space="preserve">Shipped-on-board date and notation (vs. </w:t>
      </w:r>
      <w:r>
        <w:t xml:space="preserve">“</w:t>
      </w:r>
      <w:r>
        <w:t xml:space="preserve">received for shipment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Place and date of issue</w:t>
      </w:r>
    </w:p>
    <w:p>
      <w:pPr>
        <w:numPr>
          <w:ilvl w:val="0"/>
          <w:numId w:val="1007"/>
        </w:numPr>
        <w:pStyle w:val="Compact"/>
      </w:pPr>
      <w:r>
        <w:t xml:space="preserve">Carrier / master / agent signature</w:t>
      </w:r>
    </w:p>
    <w:bookmarkEnd w:id="26"/>
    <w:bookmarkStart w:id="27" w:name="dangerous-goods-on-ocean-if-applicable"/>
    <w:p>
      <w:pPr>
        <w:pStyle w:val="Heading2"/>
      </w:pPr>
      <w:r>
        <w:t xml:space="preserve">Dangerous Goods on Ocean (if applicable)</w:t>
      </w:r>
    </w:p>
    <w:p>
      <w:pPr>
        <w:numPr>
          <w:ilvl w:val="0"/>
          <w:numId w:val="1008"/>
        </w:numPr>
        <w:pStyle w:val="Compact"/>
      </w:pPr>
      <w:r>
        <w:t xml:space="preserve">IMDG Code applies to sea (not IATA DGR — that is air only).</w:t>
      </w:r>
    </w:p>
    <w:p>
      <w:pPr>
        <w:numPr>
          <w:ilvl w:val="0"/>
          <w:numId w:val="1008"/>
        </w:numPr>
        <w:pStyle w:val="Compact"/>
      </w:pPr>
      <w:r>
        <w:t xml:space="preserve">UN number, proper shipping name, class/division, packing group, flashpoint (if any).</w:t>
      </w:r>
    </w:p>
    <w:p>
      <w:pPr>
        <w:numPr>
          <w:ilvl w:val="0"/>
          <w:numId w:val="1008"/>
        </w:numPr>
        <w:pStyle w:val="Compact"/>
      </w:pPr>
      <w:r>
        <w:t xml:space="preserve">Marine pollutant indication where applicable.</w:t>
      </w:r>
    </w:p>
    <w:p>
      <w:pPr>
        <w:numPr>
          <w:ilvl w:val="0"/>
          <w:numId w:val="1008"/>
        </w:numPr>
        <w:pStyle w:val="Compact"/>
      </w:pPr>
      <w:r>
        <w:t xml:space="preserve">Reference to the Dangerous Goods Declaration / container packing certificate.</w:t>
      </w:r>
    </w:p>
    <w:bookmarkEnd w:id="27"/>
    <w:bookmarkStart w:id="28" w:name="review-practice-checklist"/>
    <w:p>
      <w:pPr>
        <w:pStyle w:val="Heading2"/>
      </w:pPr>
      <w:r>
        <w:t xml:space="preserve">Review / Practice Checklist</w:t>
      </w:r>
    </w:p>
    <w:p>
      <w:pPr>
        <w:numPr>
          <w:ilvl w:val="0"/>
          <w:numId w:val="1009"/>
        </w:numPr>
        <w:pStyle w:val="Compact"/>
      </w:pPr>
      <w:r>
        <w:t xml:space="preserve">Does the B/L type match the payment/release method (e.g. is a negotiable</w:t>
      </w:r>
      <w:r>
        <w:t xml:space="preserve"> </w:t>
      </w:r>
      <w:r>
        <w:t xml:space="preserve">“</w:t>
      </w:r>
      <w:r>
        <w:t xml:space="preserve">to order</w:t>
      </w:r>
      <w:r>
        <w:t xml:space="preserve">”</w:t>
      </w:r>
      <w:r>
        <w:t xml:space="preserve"> </w:t>
      </w:r>
      <w:r>
        <w:t xml:space="preserve">B/L intended,</w:t>
      </w:r>
      <w:r>
        <w:t xml:space="preserve"> </w:t>
      </w:r>
      <w:r>
        <w:t xml:space="preserve">or should it be straight/seaway)?</w:t>
      </w:r>
    </w:p>
    <w:p>
      <w:pPr>
        <w:numPr>
          <w:ilvl w:val="0"/>
          <w:numId w:val="1009"/>
        </w:numPr>
        <w:pStyle w:val="Compact"/>
      </w:pPr>
      <w:r>
        <w:t xml:space="preserve">Do container and seal numbers match the packing list and the DG declaration?</w:t>
      </w:r>
    </w:p>
    <w:p>
      <w:pPr>
        <w:numPr>
          <w:ilvl w:val="0"/>
          <w:numId w:val="1009"/>
        </w:numPr>
        <w:pStyle w:val="Compact"/>
      </w:pPr>
      <w:r>
        <w:t xml:space="preserve">Is</w:t>
      </w:r>
      <w:r>
        <w:t xml:space="preserve"> </w:t>
      </w:r>
      <w:r>
        <w:t xml:space="preserve">“</w:t>
      </w:r>
      <w:r>
        <w:t xml:space="preserve">shipped on board</w:t>
      </w:r>
      <w:r>
        <w:t xml:space="preserve">”</w:t>
      </w:r>
      <w:r>
        <w:t xml:space="preserve"> </w:t>
      </w:r>
      <w:r>
        <w:t xml:space="preserve">dated and signed (banks require an on-board notation under a letter of credit)?</w:t>
      </w:r>
    </w:p>
    <w:p>
      <w:pPr>
        <w:numPr>
          <w:ilvl w:val="0"/>
          <w:numId w:val="1009"/>
        </w:numPr>
        <w:pStyle w:val="Compact"/>
      </w:pPr>
      <w:r>
        <w:t xml:space="preserve">Does freight prepaid/collect match the Incoterms on the commercial invoice?</w:t>
      </w:r>
    </w:p>
    <w:p>
      <w:pPr>
        <w:numPr>
          <w:ilvl w:val="0"/>
          <w:numId w:val="1009"/>
        </w:numPr>
        <w:pStyle w:val="Compact"/>
      </w:pPr>
      <w:r>
        <w:t xml:space="preserve">Do shipper, consignee, notify party, weights, and piece count agree with the invoice and packing list?</w:t>
      </w:r>
    </w:p>
    <w:p>
      <w:pPr>
        <w:numPr>
          <w:ilvl w:val="0"/>
          <w:numId w:val="1009"/>
        </w:numPr>
        <w:pStyle w:val="Compact"/>
      </w:pPr>
      <w:r>
        <w:t xml:space="preserve">If DG: is the IMDG (not IATA) classification used, and is a marine pollutant flagged if applicable?</w:t>
      </w:r>
    </w:p>
    <w:p>
      <w:pPr>
        <w:numPr>
          <w:ilvl w:val="0"/>
          <w:numId w:val="1009"/>
        </w:numPr>
        <w:pStyle w:val="Compact"/>
      </w:pPr>
      <w:r>
        <w:t xml:space="preserve">Does the number of original B/Ls issued match what the consignee/bank needs to take delivery?</w:t>
      </w:r>
    </w:p>
    <w:bookmarkEnd w:id="28"/>
    <w:bookmarkStart w:id="29" w:name="precedence-note"/>
    <w:p>
      <w:pPr>
        <w:pStyle w:val="Heading2"/>
      </w:pPr>
      <w:r>
        <w:t xml:space="preserve">Precedence note</w:t>
      </w:r>
    </w:p>
    <w:p>
      <w:pPr>
        <w:pStyle w:val="FirstParagraph"/>
      </w:pPr>
      <w:r>
        <w:t xml:space="preserve">For sea freight,</w:t>
      </w:r>
      <w:r>
        <w:t xml:space="preserve"> </w:t>
      </w:r>
      <w:r>
        <w:rPr>
          <w:bCs/>
          <w:b/>
        </w:rPr>
        <w:t xml:space="preserve">IMDG Code governs dangerous goods, not IATA DGR.</w:t>
      </w:r>
      <w:r>
        <w:t xml:space="preserve"> </w:t>
      </w:r>
      <w:r>
        <w:t xml:space="preserve">If the same product also moves</w:t>
      </w:r>
      <w:r>
        <w:t xml:space="preserve"> </w:t>
      </w:r>
      <w:r>
        <w:t xml:space="preserve">by air on another leg, audit that leg against IATA DGR separately. See</w:t>
      </w:r>
      <w:r>
        <w:t xml:space="preserve"> </w:t>
      </w:r>
      <w:r>
        <w:rPr>
          <w:rStyle w:val="VerbatimChar"/>
        </w:rPr>
        <w:t xml:space="preserve">compliance-auditor/standards-of-precedence.md</w:t>
      </w:r>
      <w:r>
        <w:t xml:space="preserve">.</w:t>
      </w:r>
    </w:p>
    <w:bookmarkEnd w:id="29"/>
    <w:bookmarkStart w:id="30" w:name="Xc90a7d28a618dd5d68ff6daaedf5c07f5727e30"/>
    <w:p>
      <w:pPr>
        <w:pStyle w:val="Heading2"/>
      </w:pPr>
      <w:r>
        <w:t xml:space="preserve">Sources (blank templates / references — download directly)</w:t>
      </w:r>
    </w:p>
    <w:p>
      <w:pPr>
        <w:numPr>
          <w:ilvl w:val="0"/>
          <w:numId w:val="1010"/>
        </w:numPr>
        <w:pStyle w:val="Compact"/>
      </w:pPr>
      <w:r>
        <w:t xml:space="preserve">Maersk Bill of Lading sample: https://www.maersk.com/~/media_sc9/maersk/support/files/bill-of-lading-sample.pdf</w:t>
      </w:r>
    </w:p>
    <w:p>
      <w:pPr>
        <w:numPr>
          <w:ilvl w:val="0"/>
          <w:numId w:val="1010"/>
        </w:numPr>
        <w:pStyle w:val="Compact"/>
      </w:pPr>
      <w:r>
        <w:t xml:space="preserve">ICC / trade references for Hague-Visby Rules and COGSA (search the official texts).</w:t>
      </w:r>
    </w:p>
    <w:p>
      <w:pPr>
        <w:numPr>
          <w:ilvl w:val="0"/>
          <w:numId w:val="1010"/>
        </w:numPr>
        <w:pStyle w:val="Compact"/>
      </w:pPr>
      <w:r>
        <w:t xml:space="preserve">IMO IMDG Code program page: https://www.imo.org/en/OurWork/Safety/Pages/DangerousGoods-default.aspx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2026-08-30T01:43:01Z</dcterms:created>
  <dcterms:modified xsi:type="dcterms:W3CDTF">2026-08-30T01:43:01Z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