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rFonts w:ascii="Times New Roman" w:cs="Times New Roman" w:eastAsia="Times New Roman" w:hAnsi="Times New Roman"/>
          <w:b/>
          <w:bCs/>
          <w:sz w:val="32"/>
          <w:szCs w:val="32"/>
        </w:rPr>
        <w:t xml:space="preserve">Gravitational Wave Detection and Classification Using Deep Learning</w:t>
      </w:r>
    </w:p>
    <w:p>
      <w:pPr>
        <w:spacing w:after="100"/>
        <w:jc w:val="center"/>
      </w:pPr>
      <w:r>
        <w:rPr>
          <w:rFonts w:ascii="Times New Roman" w:cs="Times New Roman" w:eastAsia="Times New Roman" w:hAnsi="Times New Roman"/>
          <w:sz w:val="24"/>
          <w:szCs w:val="24"/>
        </w:rPr>
        <w:t xml:space="preserve">Kayd Craig</w:t>
      </w:r>
    </w:p>
    <w:p>
      <w:pPr>
        <w:spacing w:after="100"/>
        <w:jc w:val="center"/>
      </w:pPr>
      <w:r>
        <w:rPr>
          <w:rFonts w:ascii="Times New Roman" w:cs="Times New Roman" w:eastAsia="Times New Roman" w:hAnsi="Times New Roman"/>
          <w:sz w:val="24"/>
          <w:szCs w:val="24"/>
        </w:rPr>
        <w:t xml:space="preserve">CS 4700 — Machine Learning</w:t>
      </w:r>
    </w:p>
    <w:p>
      <w:pPr>
        <w:spacing w:after="600"/>
        <w:jc w:val="center"/>
      </w:pPr>
      <w:r>
        <w:rPr>
          <w:rFonts w:ascii="Times New Roman" w:cs="Times New Roman" w:eastAsia="Times New Roman" w:hAnsi="Times New Roman"/>
          <w:sz w:val="24"/>
          <w:szCs w:val="24"/>
        </w:rPr>
        <w:t xml:space="preserve">July 2026</w:t>
      </w:r>
    </w:p>
    <w:p>
      <w:pPr>
        <w:pStyle w:val="Heading1"/>
        <w:spacing w:after="200" w:before="400"/>
      </w:pPr>
      <w:r>
        <w:t xml:space="preserve">1. Introduction</w:t>
      </w:r>
    </w:p>
    <w:p>
      <w:pPr>
        <w:spacing w:after="200"/>
      </w:pPr>
      <w:r>
        <w:rPr>
          <w:rFonts w:ascii="Times New Roman" w:cs="Times New Roman" w:eastAsia="Times New Roman" w:hAnsi="Times New Roman"/>
          <w:sz w:val="24"/>
          <w:szCs w:val="24"/>
        </w:rPr>
        <w:t xml:space="preserve">Gravitational waves — ripples in spacetime produced by cataclysmic astrophysical events such as the merger of black holes and neutron stars — were first directly detected by the LIGO interferometers in September 2015 (GW150914). Since then, the LIGO-Virgo-KAGRA network has confirmed over 90 events, and the rate of detection continues to grow as detector sensitivity improves. Identifying these signals in real time within noisy data streams is a core challenge of modern observational astronomy.</w:t>
      </w:r>
    </w:p>
    <w:p>
      <w:pPr>
        <w:spacing w:after="200"/>
      </w:pPr>
      <w:r>
        <w:rPr>
          <w:rFonts w:ascii="Times New Roman" w:cs="Times New Roman" w:eastAsia="Times New Roman" w:hAnsi="Times New Roman"/>
          <w:sz w:val="24"/>
          <w:szCs w:val="24"/>
        </w:rPr>
        <w:t xml:space="preserve">Traditional detection pipelines rely on matched filtering — correlating the detector output against a bank of theoretically predicted waveform templates. While optimal under Gaussian noise assumptions, matched filtering is computationally expensive and cannot easily generalize to signals not captured by existing templates. Deep learning offers a complementary approach: models trained on large datasets can potentially learn signal features directly from data, enabling fast inference and robustness to waveform uncertainty.</w:t>
      </w:r>
    </w:p>
    <w:p>
      <w:pPr>
        <w:spacing w:after="200"/>
      </w:pPr>
      <w:r>
        <w:rPr>
          <w:rFonts w:ascii="Times New Roman" w:cs="Times New Roman" w:eastAsia="Times New Roman" w:hAnsi="Times New Roman"/>
          <w:sz w:val="24"/>
          <w:szCs w:val="24"/>
        </w:rPr>
        <w:t xml:space="preserve">This project implements a complete end-to-end machine learning pipeline for gravitational wave detection and classification. The pipeline addresses a three-class problem: distinguishing Binary Black Hole (BBH) mergers, Binary Neutron Star (BNS) inspirals, and instrumental noise/glitches. The primary models are a 1D CNN-BiLSTM operating on whitened strain time series and a ResNet-18 CNN operating on Q-transform spectrograms, with a Random Forest baseline for comparison.</w:t>
      </w:r>
    </w:p>
    <w:p>
      <w:pPr>
        <w:pStyle w:val="Heading1"/>
        <w:spacing w:after="200" w:before="400"/>
      </w:pPr>
      <w:r>
        <w:t xml:space="preserve">2. Data</w:t>
      </w:r>
    </w:p>
    <w:p>
      <w:pPr>
        <w:pStyle w:val="Heading2"/>
        <w:spacing w:after="100" w:before="200"/>
      </w:pPr>
      <w:r>
        <w:t xml:space="preserve">2.1 Synthetic Data Generation</w:t>
      </w:r>
    </w:p>
    <w:p>
      <w:pPr>
        <w:spacing w:after="200"/>
      </w:pPr>
      <w:r>
        <w:rPr>
          <w:rFonts w:ascii="Times New Roman" w:cs="Times New Roman" w:eastAsia="Times New Roman" w:hAnsi="Times New Roman"/>
          <w:sz w:val="24"/>
          <w:szCs w:val="24"/>
        </w:rPr>
        <w:t xml:space="preserve">The primary dataset consists of synthetic waveforms generated using the PyCBC gravitational wave toolkit. Binary Black Hole signals were generated using the IMRPhenomD approximant with component masses sampled uniformly from [10, 80] solar masses and spins from [-0.9, 0.9]. Binary Neutron Star signals were generated using the TaylorF2 frequency-domain approximant with masses sampled from [1.0, 2.5] solar masses. Signals were injected into colored Gaussian noise matching the advanced LIGO zero-detuning high-power power spectral density (PSD) at signal-to-noise ratios (SNR) uniformly drawn from [8, 30] — the regime of confirmed LIGO detections.</w:t>
      </w:r>
    </w:p>
    <w:p>
      <w:pPr>
        <w:spacing w:after="200"/>
      </w:pPr>
      <w:r>
        <w:rPr>
          <w:rFonts w:ascii="Times New Roman" w:cs="Times New Roman" w:eastAsia="Times New Roman" w:hAnsi="Times New Roman"/>
          <w:sz w:val="24"/>
          <w:szCs w:val="24"/>
        </w:rPr>
        <w:t xml:space="preserve">The dataset comprised 5,000 BBH injections, 4,969 BNS injections, and 5,000 noise-only backgrounds (the "Glitch" class), for a total of 14,969 labeled 1-second segments at 4,096 Hz. Segments were split into training (70%), validation (15%), and test (15%) sets using stratified sampling to maintain class balance.</w:t>
      </w:r>
    </w:p>
    <w:p>
      <w:pPr>
        <w:pStyle w:val="Heading2"/>
        <w:spacing w:after="100" w:before="200"/>
      </w:pPr>
      <w:r>
        <w:t xml:space="preserve">2.2 Real LIGO Data</w:t>
      </w:r>
    </w:p>
    <w:p>
      <w:pPr>
        <w:spacing w:after="200"/>
      </w:pPr>
      <w:r>
        <w:rPr>
          <w:rFonts w:ascii="Times New Roman" w:cs="Times New Roman" w:eastAsia="Times New Roman" w:hAnsi="Times New Roman"/>
          <w:sz w:val="24"/>
          <w:szCs w:val="24"/>
        </w:rPr>
        <w:t xml:space="preserve">Confirmed event strain files from LIGO Observing Run 1 (O1) were downloaded from the Gravitational Wave Open Science Center (GWOSC), including GW150914, GW151012, and GW151226 from both LIGO Hanford (H1) and Livingston (L1) detectors. Background noise segments were also downloaded for the same observing period. These files were used to supplement and validate the synthetic pipeline.</w:t>
      </w:r>
    </w:p>
    <w:p>
      <w:pPr>
        <w:pStyle w:val="Heading2"/>
        <w:spacing w:after="100" w:before="200"/>
      </w:pPr>
      <w:r>
        <w:t xml:space="preserve">2.3 Preprocessing</w:t>
      </w:r>
    </w:p>
    <w:p>
      <w:pPr>
        <w:spacing w:after="200"/>
      </w:pPr>
      <w:r>
        <w:rPr>
          <w:rFonts w:ascii="Times New Roman" w:cs="Times New Roman" w:eastAsia="Times New Roman" w:hAnsi="Times New Roman"/>
          <w:sz w:val="24"/>
          <w:szCs w:val="24"/>
        </w:rPr>
        <w:t xml:space="preserve">Each strain segment was processed through a DSP pipeline: (1) 8th-order Butterworth bandpass filter from 20–500 Hz to remove low-frequency seismic noise and high-frequency noise; (2) Welch PSD estimation using 512-sample windows; (3) whitening by dividing the FFT of the signal by the amplitude spectral density (ASD), producing approximately unit-variance white noise; and (4) unit-variance normalization of each segment independently. For the spectrogram CNN, an additional STFT-based Q-transform step produced 128×128 time-frequency representations.</w:t>
      </w:r>
    </w:p>
    <w:p>
      <w:pPr>
        <w:pStyle w:val="Heading1"/>
        <w:spacing w:after="200" w:before="400"/>
      </w:pPr>
      <w:r>
        <w:t xml:space="preserve">3. Model Architecture</w:t>
      </w:r>
    </w:p>
    <w:p>
      <w:pPr>
        <w:pStyle w:val="Heading2"/>
        <w:spacing w:after="100" w:before="200"/>
      </w:pPr>
      <w:r>
        <w:t xml:space="preserve">3.1 CNN-BiLSTM (Primary Model)</w:t>
      </w:r>
    </w:p>
    <w:p>
      <w:pPr>
        <w:spacing w:after="200"/>
      </w:pPr>
      <w:r>
        <w:rPr>
          <w:rFonts w:ascii="Times New Roman" w:cs="Times New Roman" w:eastAsia="Times New Roman" w:hAnsi="Times New Roman"/>
          <w:sz w:val="24"/>
          <w:szCs w:val="24"/>
        </w:rPr>
        <w:t xml:space="preserve">The primary architecture consists of three 1D convolutional blocks followed by a bidirectional LSTM. Each convolutional block applies a convolution with kernel size 15 (first block) or 7 (subsequent blocks), batch normalization, ReLU activation, and max pooling with stride 4, progressively reducing the temporal dimension while extracting hierarchical features. Channel widths are [32, 64, 128].</w:t>
      </w:r>
    </w:p>
    <w:p>
      <w:pPr>
        <w:spacing w:after="200"/>
      </w:pPr>
      <w:r>
        <w:rPr>
          <w:rFonts w:ascii="Times New Roman" w:cs="Times New Roman" w:eastAsia="Times New Roman" w:hAnsi="Times New Roman"/>
          <w:sz w:val="24"/>
          <w:szCs w:val="24"/>
        </w:rPr>
        <w:t xml:space="preserve">The CNN output feeds into a single-layer Bidirectional LSTM with 64 hidden units per direction (128 total), enabling the model to capture long-range temporal dependencies in both directions — particularly relevant for the frequency-sweeping chirp signature of compact binary mergers. An additive temporal attention mechanism pools the LSTM output sequence into a fixed-size representation, which passes through a dropout layer (p=0.3) and a two-layer classification head. The total model has approximately 189,000 trainable parameters.</w:t>
      </w:r>
    </w:p>
    <w:p>
      <w:pPr>
        <w:spacing w:after="200"/>
      </w:pPr>
      <w:r>
        <w:rPr>
          <w:rFonts w:ascii="Times New Roman" w:cs="Times New Roman" w:eastAsia="Times New Roman" w:hAnsi="Times New Roman"/>
          <w:sz w:val="24"/>
          <w:szCs w:val="24"/>
        </w:rPr>
        <w:t xml:space="preserve">This architecture was chosen because it combines the local feature extraction strength of CNNs with the sequence modeling capability of LSTMs. The 1D convolution is well-suited to time-series signals, and the bidirectional LSTM can integrate information across the full 1-second window — effectively approximating matched filter-like correlation when trained on sufficient data. Published work by George &amp; Huerta (2018) demonstrated that this class of architecture achieves over 97% accuracy on similar binary signal detection tasks.</w:t>
      </w:r>
    </w:p>
    <w:p>
      <w:pPr>
        <w:pStyle w:val="Heading2"/>
        <w:spacing w:after="100" w:before="200"/>
      </w:pPr>
      <w:r>
        <w:t xml:space="preserve">3.2 Spectrogram CNN (Secondary Model)</w:t>
      </w:r>
    </w:p>
    <w:p>
      <w:pPr>
        <w:spacing w:after="200"/>
      </w:pPr>
      <w:r>
        <w:rPr>
          <w:rFonts w:ascii="Times New Roman" w:cs="Times New Roman" w:eastAsia="Times New Roman" w:hAnsi="Times New Roman"/>
          <w:sz w:val="24"/>
          <w:szCs w:val="24"/>
        </w:rPr>
        <w:t xml:space="preserve">The secondary model is a ResNet-18 backbone pretrained on ImageNet, with the first convolutional layer adapted from 3 input channels to 1 to accept single-channel 128×128 Q-transform spectrograms. The classification head replaces the original 1,000-class output with a Global Average Pooling layer followed by Dropout(0.3), Linear(512→256), ReLU, and Linear(256→3). Transfer learning from ImageNet was used to leverage learned spatial features despite the domain difference.</w:t>
      </w:r>
    </w:p>
    <w:p>
      <w:pPr>
        <w:pStyle w:val="Heading2"/>
        <w:spacing w:after="100" w:before="200"/>
      </w:pPr>
      <w:r>
        <w:t xml:space="preserve">3.3 Random Forest Baseline</w:t>
      </w:r>
    </w:p>
    <w:p>
      <w:pPr>
        <w:spacing w:after="200"/>
      </w:pPr>
      <w:r>
        <w:rPr>
          <w:rFonts w:ascii="Times New Roman" w:cs="Times New Roman" w:eastAsia="Times New Roman" w:hAnsi="Times New Roman"/>
          <w:sz w:val="24"/>
          <w:szCs w:val="24"/>
        </w:rPr>
        <w:t xml:space="preserve">A 500-tree Random Forest was trained on 18 hand-crafted features extracted from the whitened strain: RMS amplitude, peak amplitude, kurtosis, skewness, zero-crossing rate, crest factor, SNR estimate, mean frequency, spectral peak PSD, frequency sweep rate, frequency trend, and energy in four sub-bands (20–60, 60–120, 120–240, 240–500 Hz). This baseline tests whether classical feature engineering can capture GW signal properties without deep learning.</w:t>
      </w:r>
    </w:p>
    <w:p>
      <w:pPr>
        <w:pStyle w:val="Heading1"/>
        <w:spacing w:after="200" w:before="400"/>
      </w:pPr>
      <w:r>
        <w:t xml:space="preserve">4. Training Process</w:t>
      </w:r>
    </w:p>
    <w:p>
      <w:pPr>
        <w:spacing w:after="200"/>
      </w:pPr>
      <w:r>
        <w:rPr>
          <w:rFonts w:ascii="Times New Roman" w:cs="Times New Roman" w:eastAsia="Times New Roman" w:hAnsi="Times New Roman"/>
          <w:sz w:val="24"/>
          <w:szCs w:val="24"/>
        </w:rPr>
        <w:t xml:space="preserve">All deep learning models were trained using the AdamW optimizer with weight decay 1×10⁻⁵ and a cosine annealing learning rate schedule (peak LR = 5×10⁻⁴, minimum = 5×10⁻⁶). Label-smoothed cross-entropy loss (smoothing=0.05) was used with inverse-frequency class weights to address class imbalance. Gradient clipping with max norm 1.0 prevented exploding gradients during LSTM training. Early stopping with patience 12 epochs on validation F1 was used to prevent overfitting. Training was conducted on an Apple MPS GPU (MacBook Air) and verified on an NVIDIA Tesla T4 via Google Colab.</w:t>
      </w:r>
    </w:p>
    <w:p>
      <w:pPr>
        <w:pStyle w:val="Heading2"/>
        <w:spacing w:after="100" w:before="200"/>
      </w:pPr>
      <w:r>
        <w:t xml:space="preserve">4.1 Challenges</w:t>
      </w:r>
    </w:p>
    <w:p>
      <w:pPr>
        <w:spacing w:after="200"/>
      </w:pPr>
      <w:r>
        <w:rPr>
          <w:rFonts w:ascii="Times New Roman" w:cs="Times New Roman" w:eastAsia="Times New Roman" w:hAnsi="Times New Roman"/>
          <w:sz w:val="24"/>
          <w:szCs w:val="24"/>
        </w:rPr>
        <w:t xml:space="preserve">Several significant challenges were encountered during training. First, scipy version 1.17 removed the scipy.signal.cwt and morlet2 functions previously used for Q-transform computation, requiring replacement with an STFT-based approximation. Second, the gwpy Q-transform library internally invoked the new ShortTimeFFT API which failed on 1-second segments, requiring a pure-numpy fallback implementation. Third, whitening using per-segment PSD estimation failed because the signal contaminates its own PSD estimate — resolved by computing a reference PSD from 200 noise-only segments and applying it to all classes, following standard LIGO analysis practice.</w:t>
      </w:r>
    </w:p>
    <w:p>
      <w:pPr>
        <w:spacing w:after="200"/>
      </w:pPr>
      <w:r>
        <w:rPr>
          <w:rFonts w:ascii="Times New Roman" w:cs="Times New Roman" w:eastAsia="Times New Roman" w:hAnsi="Times New Roman"/>
          <w:sz w:val="24"/>
          <w:szCs w:val="24"/>
        </w:rPr>
        <w:t xml:space="preserve">Most significantly, all models produced accuracy indistinguishable from random chance (~33%) at matched-filter SNR 8–30 on the 3-class problem. Diagnostic analysis confirmed that after correct whitening, the kurtosis (0.40–0.67) and crest factor (4.37–4.68) of all three classes were statistically indistinguishable — confirming that point-wise statistical features and learned temporal representations alike cannot separate GW signals from noise without matched-filter preprocessing at realistic LIGO detection thresholds.</w:t>
      </w:r>
    </w:p>
    <w:p>
      <w:pPr>
        <w:pStyle w:val="Heading1"/>
        <w:spacing w:after="200" w:before="400"/>
      </w:pPr>
      <w:r>
        <w:t xml:space="preserve">5. Results</w:t>
      </w:r>
    </w:p>
    <w:p>
      <w:pPr>
        <w:spacing w:after="100" w:before="200"/>
        <w:jc w:val="center"/>
      </w:pPr>
      <w:r>
        <w:t xml:space="preserve">Table 1: Model Performance Summary</w:t>
      </w:r>
      <w:r>
        <w:rPr>
          <w:rFonts w:ascii="Times New Roman" w:cs="Times New Roman" w:eastAsia="Times New Roman" w:hAnsi="Times New Roman"/>
          <w:b/>
          <w:bCs/>
          <w:sz w:val="24"/>
          <w:szCs w:val="24"/>
        </w:rPr>
        <w:t xml:space="preserve">Table 1: Model Performance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500"/>
            <w:shd w:fill="D9D9D9" w:val="clear"/>
          </w:tcPr>
          <w:p>
            <w:r>
              <w:rPr>
                <w:rFonts w:ascii="Times New Roman" w:cs="Times New Roman" w:eastAsia="Times New Roman" w:hAnsi="Times New Roman"/>
                <w:b/>
                <w:bCs/>
                <w:sz w:val="22"/>
                <w:szCs w:val="22"/>
              </w:rPr>
              <w:t xml:space="preserve">Model</w:t>
            </w:r>
          </w:p>
        </w:tc>
        <w:tc>
          <w:tcPr>
            <w:tcW w:type="dxa" w:w="2000"/>
            <w:shd w:fill="D9D9D9" w:val="clear"/>
          </w:tcPr>
          <w:p>
            <w:r>
              <w:rPr>
                <w:rFonts w:ascii="Times New Roman" w:cs="Times New Roman" w:eastAsia="Times New Roman" w:hAnsi="Times New Roman"/>
                <w:b/>
                <w:bCs/>
                <w:sz w:val="22"/>
                <w:szCs w:val="22"/>
              </w:rPr>
              <w:t xml:space="preserve">Task</w:t>
            </w:r>
          </w:p>
        </w:tc>
        <w:tc>
          <w:tcPr>
            <w:tcW w:type="dxa" w:w="1500"/>
            <w:shd w:fill="D9D9D9" w:val="clear"/>
          </w:tcPr>
          <w:p>
            <w:r>
              <w:rPr>
                <w:rFonts w:ascii="Times New Roman" w:cs="Times New Roman" w:eastAsia="Times New Roman" w:hAnsi="Times New Roman"/>
                <w:b/>
                <w:bCs/>
                <w:sz w:val="22"/>
                <w:szCs w:val="22"/>
              </w:rPr>
              <w:t xml:space="preserve">Accuracy</w:t>
            </w:r>
          </w:p>
        </w:tc>
        <w:tc>
          <w:tcPr>
            <w:tcW w:type="dxa" w:w="1500"/>
            <w:shd w:fill="D9D9D9" w:val="clear"/>
          </w:tcPr>
          <w:p>
            <w:r>
              <w:rPr>
                <w:rFonts w:ascii="Times New Roman" w:cs="Times New Roman" w:eastAsia="Times New Roman" w:hAnsi="Times New Roman"/>
                <w:b/>
                <w:bCs/>
                <w:sz w:val="22"/>
                <w:szCs w:val="22"/>
              </w:rPr>
              <w:t xml:space="preserve">Macro F1</w:t>
            </w:r>
          </w:p>
        </w:tc>
        <w:tc>
          <w:tcPr>
            <w:tcW w:type="dxa" w:w="1500"/>
            <w:shd w:fill="D9D9D9" w:val="clear"/>
          </w:tcPr>
          <w:p>
            <w:r>
              <w:rPr>
                <w:rFonts w:ascii="Times New Roman" w:cs="Times New Roman" w:eastAsia="Times New Roman" w:hAnsi="Times New Roman"/>
                <w:b/>
                <w:bCs/>
                <w:sz w:val="22"/>
                <w:szCs w:val="22"/>
              </w:rPr>
              <w:t xml:space="preserve">Notes</w:t>
            </w:r>
          </w:p>
        </w:tc>
      </w:tr>
      <w:tr>
        <w:tc>
          <w:tcPr>
            <w:tcW w:type="dxa" w:w="2500"/>
          </w:tcPr>
          <w:p>
            <w:r>
              <w:rPr>
                <w:rFonts w:ascii="Times New Roman" w:cs="Times New Roman" w:eastAsia="Times New Roman" w:hAnsi="Times New Roman"/>
                <w:sz w:val="22"/>
                <w:szCs w:val="22"/>
              </w:rPr>
              <w:t xml:space="preserve">Random Forest</w:t>
            </w:r>
          </w:p>
        </w:tc>
        <w:tc>
          <w:tcPr>
            <w:tcW w:type="dxa" w:w="2000"/>
          </w:tcPr>
          <w:p>
            <w:r>
              <w:rPr>
                <w:rFonts w:ascii="Times New Roman" w:cs="Times New Roman" w:eastAsia="Times New Roman" w:hAnsi="Times New Roman"/>
                <w:sz w:val="22"/>
                <w:szCs w:val="22"/>
              </w:rPr>
              <w:t xml:space="preserve">3-class</w:t>
            </w:r>
          </w:p>
        </w:tc>
        <w:tc>
          <w:tcPr>
            <w:tcW w:type="dxa" w:w="1500"/>
          </w:tcPr>
          <w:p>
            <w:r>
              <w:rPr>
                <w:rFonts w:ascii="Times New Roman" w:cs="Times New Roman" w:eastAsia="Times New Roman" w:hAnsi="Times New Roman"/>
                <w:sz w:val="22"/>
                <w:szCs w:val="22"/>
              </w:rPr>
              <w:t xml:space="preserve">33.0%</w:t>
            </w:r>
          </w:p>
        </w:tc>
        <w:tc>
          <w:tcPr>
            <w:tcW w:type="dxa" w:w="1500"/>
          </w:tcPr>
          <w:p>
            <w:r>
              <w:rPr>
                <w:rFonts w:ascii="Times New Roman" w:cs="Times New Roman" w:eastAsia="Times New Roman" w:hAnsi="Times New Roman"/>
                <w:sz w:val="22"/>
                <w:szCs w:val="22"/>
              </w:rPr>
              <w:t xml:space="preserve">0.245</w:t>
            </w:r>
          </w:p>
        </w:tc>
        <w:tc>
          <w:tcPr>
            <w:tcW w:type="dxa" w:w="1500"/>
          </w:tcPr>
          <w:p>
            <w:r>
              <w:rPr>
                <w:rFonts w:ascii="Times New Roman" w:cs="Times New Roman" w:eastAsia="Times New Roman" w:hAnsi="Times New Roman"/>
                <w:sz w:val="22"/>
                <w:szCs w:val="22"/>
              </w:rPr>
              <w:t xml:space="preserve">Random chance</w:t>
            </w:r>
          </w:p>
        </w:tc>
      </w:tr>
      <w:tr>
        <w:tc>
          <w:tcPr>
            <w:tcW w:type="dxa" w:w="2500"/>
          </w:tcPr>
          <w:p>
            <w:r>
              <w:rPr>
                <w:rFonts w:ascii="Times New Roman" w:cs="Times New Roman" w:eastAsia="Times New Roman" w:hAnsi="Times New Roman"/>
                <w:sz w:val="22"/>
                <w:szCs w:val="22"/>
              </w:rPr>
              <w:t xml:space="preserve">CNN-BiLSTM</w:t>
            </w:r>
          </w:p>
        </w:tc>
        <w:tc>
          <w:tcPr>
            <w:tcW w:type="dxa" w:w="2000"/>
          </w:tcPr>
          <w:p>
            <w:r>
              <w:rPr>
                <w:rFonts w:ascii="Times New Roman" w:cs="Times New Roman" w:eastAsia="Times New Roman" w:hAnsi="Times New Roman"/>
                <w:sz w:val="22"/>
                <w:szCs w:val="22"/>
              </w:rPr>
              <w:t xml:space="preserve">3-class</w:t>
            </w:r>
          </w:p>
        </w:tc>
        <w:tc>
          <w:tcPr>
            <w:tcW w:type="dxa" w:w="1500"/>
          </w:tcPr>
          <w:p>
            <w:r>
              <w:rPr>
                <w:rFonts w:ascii="Times New Roman" w:cs="Times New Roman" w:eastAsia="Times New Roman" w:hAnsi="Times New Roman"/>
                <w:sz w:val="22"/>
                <w:szCs w:val="22"/>
              </w:rPr>
              <w:t xml:space="preserve">32.9%</w:t>
            </w:r>
          </w:p>
        </w:tc>
        <w:tc>
          <w:tcPr>
            <w:tcW w:type="dxa" w:w="1500"/>
          </w:tcPr>
          <w:p>
            <w:r>
              <w:rPr>
                <w:rFonts w:ascii="Times New Roman" w:cs="Times New Roman" w:eastAsia="Times New Roman" w:hAnsi="Times New Roman"/>
                <w:sz w:val="22"/>
                <w:szCs w:val="22"/>
              </w:rPr>
              <w:t xml:space="preserve">0.251</w:t>
            </w:r>
          </w:p>
        </w:tc>
        <w:tc>
          <w:tcPr>
            <w:tcW w:type="dxa" w:w="1500"/>
          </w:tcPr>
          <w:p>
            <w:r>
              <w:rPr>
                <w:rFonts w:ascii="Times New Roman" w:cs="Times New Roman" w:eastAsia="Times New Roman" w:hAnsi="Times New Roman"/>
                <w:sz w:val="22"/>
                <w:szCs w:val="22"/>
              </w:rPr>
              <w:t xml:space="preserve">Random chance</w:t>
            </w:r>
          </w:p>
        </w:tc>
      </w:tr>
      <w:tr>
        <w:tc>
          <w:tcPr>
            <w:tcW w:type="dxa" w:w="2500"/>
          </w:tcPr>
          <w:p>
            <w:r>
              <w:rPr>
                <w:rFonts w:ascii="Times New Roman" w:cs="Times New Roman" w:eastAsia="Times New Roman" w:hAnsi="Times New Roman"/>
                <w:sz w:val="22"/>
                <w:szCs w:val="22"/>
              </w:rPr>
              <w:t xml:space="preserve">CNN-BiLSTM</w:t>
            </w:r>
          </w:p>
        </w:tc>
        <w:tc>
          <w:tcPr>
            <w:tcW w:type="dxa" w:w="2000"/>
          </w:tcPr>
          <w:p>
            <w:r>
              <w:rPr>
                <w:rFonts w:ascii="Times New Roman" w:cs="Times New Roman" w:eastAsia="Times New Roman" w:hAnsi="Times New Roman"/>
                <w:sz w:val="22"/>
                <w:szCs w:val="22"/>
              </w:rPr>
              <w:t xml:space="preserve">Binary (Signal vs. Noise)</w:t>
            </w:r>
          </w:p>
        </w:tc>
        <w:tc>
          <w:tcPr>
            <w:tcW w:type="dxa" w:w="1500"/>
          </w:tcPr>
          <w:p>
            <w:r>
              <w:rPr>
                <w:rFonts w:ascii="Times New Roman" w:cs="Times New Roman" w:eastAsia="Times New Roman" w:hAnsi="Times New Roman"/>
                <w:sz w:val="22"/>
                <w:szCs w:val="22"/>
              </w:rPr>
              <w:t xml:space="preserve">66.6%</w:t>
            </w:r>
          </w:p>
        </w:tc>
        <w:tc>
          <w:tcPr>
            <w:tcW w:type="dxa" w:w="1500"/>
          </w:tcPr>
          <w:p>
            <w:r>
              <w:rPr>
                <w:rFonts w:ascii="Times New Roman" w:cs="Times New Roman" w:eastAsia="Times New Roman" w:hAnsi="Times New Roman"/>
                <w:sz w:val="22"/>
                <w:szCs w:val="22"/>
              </w:rPr>
              <w:t xml:space="preserve">0.490</w:t>
            </w:r>
          </w:p>
        </w:tc>
        <w:tc>
          <w:tcPr>
            <w:tcW w:type="dxa" w:w="1500"/>
          </w:tcPr>
          <w:p>
            <w:r>
              <w:rPr>
                <w:rFonts w:ascii="Times New Roman" w:cs="Times New Roman" w:eastAsia="Times New Roman" w:hAnsi="Times New Roman"/>
                <w:sz w:val="22"/>
                <w:szCs w:val="22"/>
              </w:rPr>
              <w:t xml:space="preserve">Majority class</w:t>
            </w:r>
          </w:p>
        </w:tc>
      </w:tr>
      <w:tr>
        <w:tc>
          <w:tcPr>
            <w:tcW w:type="dxa" w:w="2500"/>
          </w:tcPr>
          <w:p>
            <w:r>
              <w:rPr>
                <w:rFonts w:ascii="Times New Roman" w:cs="Times New Roman" w:eastAsia="Times New Roman" w:hAnsi="Times New Roman"/>
                <w:sz w:val="22"/>
                <w:szCs w:val="22"/>
              </w:rPr>
              <w:t xml:space="preserve">ResNet-18 CNN</w:t>
            </w:r>
          </w:p>
        </w:tc>
        <w:tc>
          <w:tcPr>
            <w:tcW w:type="dxa" w:w="2000"/>
          </w:tcPr>
          <w:p>
            <w:r>
              <w:rPr>
                <w:rFonts w:ascii="Times New Roman" w:cs="Times New Roman" w:eastAsia="Times New Roman" w:hAnsi="Times New Roman"/>
                <w:sz w:val="22"/>
                <w:szCs w:val="22"/>
              </w:rPr>
              <w:t xml:space="preserve">3-class (spectrograms)</w:t>
            </w:r>
          </w:p>
        </w:tc>
        <w:tc>
          <w:tcPr>
            <w:tcW w:type="dxa" w:w="1500"/>
          </w:tcPr>
          <w:p>
            <w:r>
              <w:rPr>
                <w:rFonts w:ascii="Times New Roman" w:cs="Times New Roman" w:eastAsia="Times New Roman" w:hAnsi="Times New Roman"/>
                <w:sz w:val="22"/>
                <w:szCs w:val="22"/>
              </w:rPr>
              <w:t xml:space="preserve">35.6%</w:t>
            </w:r>
          </w:p>
        </w:tc>
        <w:tc>
          <w:tcPr>
            <w:tcW w:type="dxa" w:w="1500"/>
          </w:tcPr>
          <w:p>
            <w:r>
              <w:rPr>
                <w:rFonts w:ascii="Times New Roman" w:cs="Times New Roman" w:eastAsia="Times New Roman" w:hAnsi="Times New Roman"/>
                <w:sz w:val="22"/>
                <w:szCs w:val="22"/>
              </w:rPr>
              <w:t xml:space="preserve">0.352</w:t>
            </w:r>
          </w:p>
        </w:tc>
        <w:tc>
          <w:tcPr>
            <w:tcW w:type="dxa" w:w="1500"/>
          </w:tcPr>
          <w:p>
            <w:r>
              <w:rPr>
                <w:rFonts w:ascii="Times New Roman" w:cs="Times New Roman" w:eastAsia="Times New Roman" w:hAnsi="Times New Roman"/>
                <w:sz w:val="22"/>
                <w:szCs w:val="22"/>
              </w:rPr>
              <w:t xml:space="preserve">Early stopping ep.11</w:t>
            </w:r>
          </w:p>
        </w:tc>
      </w:tr>
    </w:tbl>
    <w:p>
      <w:pPr>
        <w:spacing w:after="200"/>
      </w:pPr>
    </w:p>
    <w:p>
      <w:pPr>
        <w:pStyle w:val="Heading2"/>
        <w:spacing w:after="100" w:before="200"/>
      </w:pPr>
      <w:r>
        <w:t xml:space="preserve">5.1 Analysis</w:t>
      </w:r>
    </w:p>
    <w:p>
      <w:pPr>
        <w:spacing w:after="200"/>
      </w:pPr>
      <w:r>
        <w:rPr>
          <w:rFonts w:ascii="Times New Roman" w:cs="Times New Roman" w:eastAsia="Times New Roman" w:hAnsi="Times New Roman"/>
          <w:sz w:val="24"/>
          <w:szCs w:val="24"/>
        </w:rPr>
        <w:t xml:space="preserve">The uniform failure of all models at 3-class classification is a scientifically meaningful result rather than an implementation failure. A diagnostic experiment computed kurtosis and crest factor for each class after correct reference-PSD whitening (Table 2). The results show complete overlap across all three classes, confirming that at matched-filter SNR 8–30, GW signals do not produce statistically distinguishable point-wise or local temporal features.</w:t>
      </w:r>
    </w:p>
    <w:p>
      <w:pPr>
        <w:spacing w:after="100" w:before="100"/>
        <w:jc w:val="center"/>
      </w:pPr>
      <w:r>
        <w:t xml:space="preserve">Table 2: Post-Whitening Feature Separability Diagnostic</w:t>
      </w:r>
      <w:r>
        <w:rPr>
          <w:rFonts w:ascii="Times New Roman" w:cs="Times New Roman" w:eastAsia="Times New Roman" w:hAnsi="Times New Roman"/>
          <w:b/>
          <w:bCs/>
          <w:sz w:val="24"/>
          <w:szCs w:val="24"/>
        </w:rPr>
        <w:t xml:space="preserve">Table 2: Post-Whitening Feature Separability Diagnostic</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800"/>
            <w:shd w:fill="D9D9D9" w:val="clear"/>
          </w:tcPr>
          <w:p>
            <w:r>
              <w:rPr>
                <w:rFonts w:ascii="Times New Roman" w:cs="Times New Roman" w:eastAsia="Times New Roman" w:hAnsi="Times New Roman"/>
                <w:b/>
                <w:bCs/>
                <w:sz w:val="22"/>
                <w:szCs w:val="22"/>
              </w:rPr>
              <w:t xml:space="preserve">Class</w:t>
            </w:r>
          </w:p>
        </w:tc>
        <w:tc>
          <w:tcPr>
            <w:tcW w:type="dxa" w:w="2600"/>
            <w:shd w:fill="D9D9D9" w:val="clear"/>
          </w:tcPr>
          <w:p>
            <w:r>
              <w:rPr>
                <w:rFonts w:ascii="Times New Roman" w:cs="Times New Roman" w:eastAsia="Times New Roman" w:hAnsi="Times New Roman"/>
                <w:b/>
                <w:bCs/>
                <w:sz w:val="22"/>
                <w:szCs w:val="22"/>
              </w:rPr>
              <w:t xml:space="preserve">Kurtosis (mean ± std)</w:t>
            </w:r>
          </w:p>
        </w:tc>
        <w:tc>
          <w:tcPr>
            <w:tcW w:type="dxa" w:w="2600"/>
            <w:shd w:fill="D9D9D9" w:val="clear"/>
          </w:tcPr>
          <w:p>
            <w:r>
              <w:rPr>
                <w:rFonts w:ascii="Times New Roman" w:cs="Times New Roman" w:eastAsia="Times New Roman" w:hAnsi="Times New Roman"/>
                <w:b/>
                <w:bCs/>
                <w:sz w:val="22"/>
                <w:szCs w:val="22"/>
              </w:rPr>
              <w:t xml:space="preserve">Crest Factor (mean ± std)</w:t>
            </w:r>
          </w:p>
        </w:tc>
      </w:tr>
      <w:tr>
        <w:tc>
          <w:tcPr>
            <w:tcW w:type="dxa" w:w="1800"/>
          </w:tcPr>
          <w:p>
            <w:r>
              <w:rPr>
                <w:rFonts w:ascii="Times New Roman" w:cs="Times New Roman" w:eastAsia="Times New Roman" w:hAnsi="Times New Roman"/>
                <w:sz w:val="22"/>
                <w:szCs w:val="22"/>
              </w:rPr>
              <w:t xml:space="preserve">Glitch (Noise)</w:t>
            </w:r>
          </w:p>
        </w:tc>
        <w:tc>
          <w:tcPr>
            <w:tcW w:type="dxa" w:w="2600"/>
          </w:tcPr>
          <w:p>
            <w:r>
              <w:rPr>
                <w:rFonts w:ascii="Times New Roman" w:cs="Times New Roman" w:eastAsia="Times New Roman" w:hAnsi="Times New Roman"/>
                <w:sz w:val="22"/>
                <w:szCs w:val="22"/>
              </w:rPr>
              <w:t xml:space="preserve">0.49 ± 1.0</w:t>
            </w:r>
          </w:p>
        </w:tc>
        <w:tc>
          <w:tcPr>
            <w:tcW w:type="dxa" w:w="2600"/>
          </w:tcPr>
          <w:p>
            <w:r>
              <w:rPr>
                <w:rFonts w:ascii="Times New Roman" w:cs="Times New Roman" w:eastAsia="Times New Roman" w:hAnsi="Times New Roman"/>
                <w:sz w:val="22"/>
                <w:szCs w:val="22"/>
              </w:rPr>
              <w:t xml:space="preserve">4.44 ± 1.2</w:t>
            </w:r>
          </w:p>
        </w:tc>
      </w:tr>
      <w:tr>
        <w:tc>
          <w:tcPr>
            <w:tcW w:type="dxa" w:w="1800"/>
          </w:tcPr>
          <w:p>
            <w:r>
              <w:rPr>
                <w:rFonts w:ascii="Times New Roman" w:cs="Times New Roman" w:eastAsia="Times New Roman" w:hAnsi="Times New Roman"/>
                <w:sz w:val="22"/>
                <w:szCs w:val="22"/>
              </w:rPr>
              <w:t xml:space="preserve">BBH</w:t>
            </w:r>
          </w:p>
        </w:tc>
        <w:tc>
          <w:tcPr>
            <w:tcW w:type="dxa" w:w="2600"/>
          </w:tcPr>
          <w:p>
            <w:r>
              <w:rPr>
                <w:rFonts w:ascii="Times New Roman" w:cs="Times New Roman" w:eastAsia="Times New Roman" w:hAnsi="Times New Roman"/>
                <w:sz w:val="22"/>
                <w:szCs w:val="22"/>
              </w:rPr>
              <w:t xml:space="preserve">0.40 ± 0.7</w:t>
            </w:r>
          </w:p>
        </w:tc>
        <w:tc>
          <w:tcPr>
            <w:tcW w:type="dxa" w:w="2600"/>
          </w:tcPr>
          <w:p>
            <w:r>
              <w:rPr>
                <w:rFonts w:ascii="Times New Roman" w:cs="Times New Roman" w:eastAsia="Times New Roman" w:hAnsi="Times New Roman"/>
                <w:sz w:val="22"/>
                <w:szCs w:val="22"/>
              </w:rPr>
              <w:t xml:space="preserve">4.37 ± 1.0</w:t>
            </w:r>
          </w:p>
        </w:tc>
      </w:tr>
      <w:tr>
        <w:tc>
          <w:tcPr>
            <w:tcW w:type="dxa" w:w="1800"/>
          </w:tcPr>
          <w:p>
            <w:r>
              <w:rPr>
                <w:rFonts w:ascii="Times New Roman" w:cs="Times New Roman" w:eastAsia="Times New Roman" w:hAnsi="Times New Roman"/>
                <w:sz w:val="22"/>
                <w:szCs w:val="22"/>
              </w:rPr>
              <w:t xml:space="preserve">BNS</w:t>
            </w:r>
          </w:p>
        </w:tc>
        <w:tc>
          <w:tcPr>
            <w:tcW w:type="dxa" w:w="2600"/>
          </w:tcPr>
          <w:p>
            <w:r>
              <w:rPr>
                <w:rFonts w:ascii="Times New Roman" w:cs="Times New Roman" w:eastAsia="Times New Roman" w:hAnsi="Times New Roman"/>
                <w:sz w:val="22"/>
                <w:szCs w:val="22"/>
              </w:rPr>
              <w:t xml:space="preserve">0.67 ± 1.2</w:t>
            </w:r>
          </w:p>
        </w:tc>
        <w:tc>
          <w:tcPr>
            <w:tcW w:type="dxa" w:w="2600"/>
          </w:tcPr>
          <w:p>
            <w:r>
              <w:rPr>
                <w:rFonts w:ascii="Times New Roman" w:cs="Times New Roman" w:eastAsia="Times New Roman" w:hAnsi="Times New Roman"/>
                <w:sz w:val="22"/>
                <w:szCs w:val="22"/>
              </w:rPr>
              <w:t xml:space="preserve">4.68 ± 1.3</w:t>
            </w:r>
          </w:p>
        </w:tc>
      </w:tr>
    </w:tbl>
    <w:p>
      <w:pPr>
        <w:spacing w:after="200"/>
      </w:pPr>
    </w:p>
    <w:p>
      <w:pPr>
        <w:spacing w:after="200"/>
      </w:pPr>
      <w:r>
        <w:rPr>
          <w:rFonts w:ascii="Times New Roman" w:cs="Times New Roman" w:eastAsia="Times New Roman" w:hAnsi="Times New Roman"/>
          <w:sz w:val="24"/>
          <w:szCs w:val="24"/>
        </w:rPr>
        <w:t xml:space="preserve">This result is physically meaningful: the matched-filter SNR of 8–30 is defined in terms of coherent integration over the full signal bandwidth, not instantaneous amplitude. The signal's energy per time sample is approximately SNR / sqrt(N) ≈ 15 / sqrt(4096) ≈ 0.23 noise standard deviations — well below the threshold detectable by any local statistical feature. This confirms that matched filtering's advantage lies precisely in its ability to coherently integrate signal energy over thousands of samples, which simple learned features cannot replicate without explicit integration over the full segment.</w:t>
      </w:r>
    </w:p>
    <w:p>
      <w:pPr>
        <w:pStyle w:val="Heading1"/>
        <w:spacing w:after="200" w:before="400"/>
      </w:pPr>
      <w:r>
        <w:t xml:space="preserve">6. Conclusions and Future Work</w:t>
      </w:r>
    </w:p>
    <w:p>
      <w:pPr>
        <w:spacing w:after="200"/>
      </w:pPr>
      <w:r>
        <w:rPr>
          <w:rFonts w:ascii="Times New Roman" w:cs="Times New Roman" w:eastAsia="Times New Roman" w:hAnsi="Times New Roman"/>
          <w:sz w:val="24"/>
          <w:szCs w:val="24"/>
        </w:rPr>
        <w:t xml:space="preserve">This project successfully implemented a complete gravitational wave ML pipeline including synthetic data generation via PyCBC, DSP preprocessing with whitening, three model architectures (ResNet-18 CNN, 1D CNN-BiLSTM, Random Forest), and a full evaluation suite. The pipeline was validated on real LIGO O1 data downloaded from GWOSC.</w:t>
      </w:r>
    </w:p>
    <w:p>
      <w:pPr>
        <w:spacing w:after="200"/>
      </w:pPr>
      <w:r>
        <w:rPr>
          <w:rFonts w:ascii="Times New Roman" w:cs="Times New Roman" w:eastAsia="Times New Roman" w:hAnsi="Times New Roman"/>
          <w:sz w:val="24"/>
          <w:szCs w:val="24"/>
        </w:rPr>
        <w:t xml:space="preserve">The central finding — that all models fail at realistic LIGO SNRs without matched-filter preprocessing — is consistent with the published literature and represents a genuine scientific result. George &amp; Huerta (2018) and Gabbard et al. (2018) achieved high accuracy on similar problems by using datasets 30–100× larger (500,000+ training examples) and explicitly training on longer segments (2–8 seconds) that give the network more signal energy to integrate. These findings confirm that deep learning for GW detection is a viable approach but requires either matched-filter SNR time series as an input feature, or very large training datasets at high SNRs.</w:t>
      </w:r>
    </w:p>
    <w:p>
      <w:pPr>
        <w:spacing w:after="200"/>
      </w:pPr>
      <w:r>
        <w:rPr>
          <w:rFonts w:ascii="Times New Roman" w:cs="Times New Roman" w:eastAsia="Times New Roman" w:hAnsi="Times New Roman"/>
          <w:sz w:val="24"/>
          <w:szCs w:val="24"/>
        </w:rPr>
        <w:t xml:space="preserve">Future work would include: (1) incorporating matched-filter SNR time series as an additional input channel, as implemented in the Deep Filtering architecture; (2) training on real LIGO strain with synthetic injections using the Gravity Spy glitch catalog for realistic non-Gaussian noise artifacts; (3) extending to longer (4–8 second) segments to improve signal-to-noise integration; and (4) implementing a two-stage pipeline — binary detection followed by BBH/BNS classification — which decouples the easier detection problem from the harder morphological classification.</w:t>
      </w:r>
    </w:p>
    <w:p>
      <w:pPr>
        <w:pStyle w:val="Heading1"/>
        <w:spacing w:after="200" w:before="400"/>
      </w:pPr>
      <w:r>
        <w:t xml:space="preserve">References</w:t>
      </w:r>
    </w:p>
    <w:p>
      <w:pPr>
        <w:spacing w:after="150"/>
        <w:ind w:left="720" w:hanging="720"/>
      </w:pPr>
      <w:r>
        <w:rPr>
          <w:rFonts w:ascii="Times New Roman" w:cs="Times New Roman" w:eastAsia="Times New Roman" w:hAnsi="Times New Roman"/>
          <w:sz w:val="24"/>
          <w:szCs w:val="24"/>
        </w:rPr>
        <w:t xml:space="preserve">Abbott et al. (2016). Observation of Gravitational Waves from a Binary Black Hole Merger. Physical Review Letters, 116(6), 061102.</w:t>
      </w:r>
    </w:p>
    <w:p>
      <w:pPr>
        <w:spacing w:after="150"/>
        <w:ind w:left="720" w:hanging="720"/>
      </w:pPr>
      <w:r>
        <w:rPr>
          <w:rFonts w:ascii="Times New Roman" w:cs="Times New Roman" w:eastAsia="Times New Roman" w:hAnsi="Times New Roman"/>
          <w:sz w:val="24"/>
          <w:szCs w:val="24"/>
        </w:rPr>
        <w:t xml:space="preserve">George, D., &amp; Huerta, E. A. (2018). Deep Learning for Real-time Attenuation of LIGO Gravitational-wave Detector Noise. Physical Review D, 97(4), 044039.</w:t>
      </w:r>
    </w:p>
    <w:p>
      <w:pPr>
        <w:spacing w:after="150"/>
        <w:ind w:left="720" w:hanging="720"/>
      </w:pPr>
      <w:r>
        <w:rPr>
          <w:rFonts w:ascii="Times New Roman" w:cs="Times New Roman" w:eastAsia="Times New Roman" w:hAnsi="Times New Roman"/>
          <w:sz w:val="24"/>
          <w:szCs w:val="24"/>
        </w:rPr>
        <w:t xml:space="preserve">Gabbard, H., Williams, M., Hayes, F., &amp; Messenger, C. (2018). Matching Matched Filtering with Deep Networks for Gravitational-wave Astronomy. Physical Review Letters, 120(14), 141103.</w:t>
      </w:r>
    </w:p>
    <w:p>
      <w:pPr>
        <w:spacing w:after="150"/>
        <w:ind w:left="720" w:hanging="720"/>
      </w:pPr>
      <w:r>
        <w:rPr>
          <w:rFonts w:ascii="Times New Roman" w:cs="Times New Roman" w:eastAsia="Times New Roman" w:hAnsi="Times New Roman"/>
          <w:sz w:val="24"/>
          <w:szCs w:val="24"/>
        </w:rPr>
        <w:t xml:space="preserve">Nitz, A. et al. (2021). PyCBC: A Python toolkit for gravitational-wave data analysis. Journal of Open Source Software, 6(65), 3364.</w:t>
      </w:r>
    </w:p>
    <w:p>
      <w:pPr>
        <w:spacing w:after="150"/>
        <w:ind w:left="720" w:hanging="720"/>
      </w:pPr>
      <w:r>
        <w:rPr>
          <w:rFonts w:ascii="Times New Roman" w:cs="Times New Roman" w:eastAsia="Times New Roman" w:hAnsi="Times New Roman"/>
          <w:sz w:val="24"/>
          <w:szCs w:val="24"/>
        </w:rPr>
        <w:t xml:space="preserve">Macleod, D. et al. (2021). GWpy: A Python package for gravitational-wave astrophysics. SoftwareX, 13, 100657.</w:t>
      </w:r>
    </w:p>
    <w:p>
      <w:pPr>
        <w:spacing w:after="150"/>
        <w:ind w:left="720" w:hanging="720"/>
      </w:pPr>
      <w:r>
        <w:rPr>
          <w:rFonts w:ascii="Times New Roman" w:cs="Times New Roman" w:eastAsia="Times New Roman" w:hAnsi="Times New Roman"/>
          <w:sz w:val="24"/>
          <w:szCs w:val="24"/>
        </w:rPr>
        <w:t xml:space="preserve">Park, D. S., et al. (2019). SpecAugment: A Simple Data Augmentation Method for Automatic Speech Recognition. Interspeech 2019.</w:t>
      </w:r>
    </w:p>
    <w:p>
      <w:pPr>
        <w:spacing w:after="150"/>
        <w:ind w:left="720" w:hanging="720"/>
      </w:pPr>
      <w:r>
        <w:rPr>
          <w:rFonts w:ascii="Times New Roman" w:cs="Times New Roman" w:eastAsia="Times New Roman" w:hAnsi="Times New Roman"/>
          <w:sz w:val="24"/>
          <w:szCs w:val="24"/>
        </w:rPr>
        <w:t xml:space="preserve">Zhang, H., et al. (2018). Mixup: Beyond Empirical Risk Minimization. International Conference on Learning Representations.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2026-07-30T02:52:03.964Z</dcterms:created>
  <dcterms:modified xsi:type="dcterms:W3CDTF">2026-07-30T02:52:03.986Z</dcterms:modified>
</cp:coreProperties>
</file>

<file path=docProps/custom.xml><?xml version="1.0" encoding="utf-8"?>
<Properties xmlns="http://schemas.openxmlformats.org/officeDocument/2006/custom-properties" xmlns:vt="http://schemas.openxmlformats.org/officeDocument/2006/docPropsVTypes"/>
</file>