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00"/>
      </w:pPr>
    </w:p>
    <w:p>
      <w:pPr>
        <w:pStyle w:val="Kicker"/>
        <w:jc w:val="center"/>
      </w:pPr>
      <w:r>
        <w:t>PROJECT FIELD GUIDE  /  INTERVIEW PREP</w:t>
      </w:r>
    </w:p>
    <w:p>
      <w:pPr>
        <w:spacing w:after="160"/>
        <w:jc w:val="center"/>
      </w:pPr>
      <w:r>
        <w:rPr>
          <w:rFonts w:ascii="Calibri" w:hAnsi="Calibri"/>
          <w:b/>
          <w:color w:val="203748"/>
          <w:sz w:val="60"/>
        </w:rPr>
        <w:t>RiskPilot AI</w:t>
      </w:r>
    </w:p>
    <w:p>
      <w:pPr>
        <w:spacing w:after="60"/>
        <w:jc w:val="center"/>
      </w:pPr>
      <w:r>
        <w:rPr>
          <w:rFonts w:ascii="Calibri" w:hAnsi="Calibri"/>
          <w:color w:val="1F4D78"/>
          <w:sz w:val="30"/>
        </w:rPr>
        <w:t>Architecture, Technical Tradeoffs, and Interview Answers</w:t>
      </w:r>
    </w:p>
    <w:p>
      <w:pPr>
        <w:spacing w:after="1080"/>
        <w:jc w:val="center"/>
      </w:pPr>
      <w:r>
        <w:rPr>
          <w:rFonts w:ascii="Calibri" w:hAnsi="Calibri"/>
          <w:i/>
          <w:color w:val="5B6570"/>
          <w:sz w:val="21"/>
        </w:rPr>
        <w:t>A code-grounded guide to understanding the project's load-bearing design</w:t>
      </w:r>
    </w:p>
    <w:p>
      <w:pPr>
        <w:spacing w:after="560"/>
        <w:ind w:left="792" w:right="792"/>
        <w:jc w:val="center"/>
      </w:pPr>
      <w:r>
        <w:rPr>
          <w:rFonts w:ascii="Calibri" w:hAnsi="Calibri"/>
          <w:b/>
          <w:color w:val="203748"/>
          <w:sz w:val="26"/>
        </w:rPr>
        <w:t>Deterministic Python computes every risk number. The LLM may explain those facts, but a validator blocks any number it cannot trace back to the engine.</w:t>
      </w:r>
    </w:p>
    <w:p>
      <w:pPr>
        <w:spacing w:after="80"/>
        <w:jc w:val="center"/>
      </w:pPr>
      <w:r>
        <w:rPr>
          <w:rFonts w:ascii="Calibri" w:hAnsi="Calibri"/>
          <w:b/>
          <w:color w:val="5B6570"/>
          <w:sz w:val="20"/>
        </w:rPr>
        <w:t>Reviewed snapshot: 2026-06-29  |  commit 4c50030</w:t>
      </w:r>
    </w:p>
    <w:p>
      <w:pPr>
        <w:jc w:val="center"/>
      </w:pPr>
      <w:r>
        <w:rPr>
          <w:rFonts w:ascii="Calibri" w:hAnsi="Calibri"/>
          <w:color w:val="5B6570"/>
          <w:sz w:val="19"/>
        </w:rPr>
        <w:t>Evidence: 39 backend tests passed  |  frontend production build passed  |  fixture matches computed report</w:t>
      </w:r>
    </w:p>
    <w:p>
      <w:r>
        <w:br w:type="page"/>
      </w:r>
    </w:p>
    <w:p>
      <w:pPr>
        <w:pStyle w:val="Heading1"/>
      </w:pPr>
      <w:r>
        <w:t>Start here: the project's backbone</w:t>
      </w:r>
    </w:p>
    <w:p>
      <w:pPr>
        <w:pStyle w:val="Lead"/>
      </w:pPr>
      <w:r>
        <w:t>Use one chain to remember the system: Data → Math → Facts → Model → Guard → Report → UI.</w:t>
      </w:r>
    </w:p>
    <w:p>
      <w:pPr>
        <w:pStyle w:val="Callout"/>
        <w:ind w:left="173" w:right="115"/>
        <w:shd w:fill="F4F6F9"/>
        <w:pBdr>
          <w:left w:val="single" w:sz="16" w:space="6" w:color="2E74B5"/>
        </w:pBdr>
      </w:pPr>
      <w:r>
        <w:rPr>
          <w:rFonts w:ascii="Calibri" w:hAnsi="Calibri"/>
          <w:b/>
          <w:color w:val="2E74B5"/>
        </w:rPr>
        <w:t xml:space="preserve">One-sentence thesis: </w:t>
      </w:r>
      <w:r>
        <w:t>RiskPilot is a full-stack portfolio risk demo where deterministic code owns truth and the language model is a replaceable explanation layer.</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200"/>
        <w:gridCol w:w="3650"/>
        <w:gridCol w:w="4510"/>
      </w:tblGrid>
      <w:tr>
        <w:trPr>
          <w:tblHeader w:val="true"/>
        </w:trPr>
        <w:tc>
          <w:tcPr>
            <w:tcW w:type="dxa" w:w="1200"/>
            <w:shd w:fill="E8EEF5"/>
            <w:vAlign w:val="center"/>
            <w:tcMar>
              <w:top w:w="80" w:type="dxa"/>
              <w:bottom w:w="80" w:type="dxa"/>
              <w:start w:w="120" w:type="dxa"/>
              <w:end w:w="120" w:type="dxa"/>
            </w:tcMar>
          </w:tcPr>
          <w:p>
            <w:pPr>
              <w:pStyle w:val="TableHeader"/>
            </w:pPr>
            <w:r>
              <w:t>Layer</w:t>
            </w:r>
          </w:p>
        </w:tc>
        <w:tc>
          <w:tcPr>
            <w:tcW w:type="dxa" w:w="3650"/>
            <w:shd w:fill="E8EEF5"/>
            <w:vAlign w:val="center"/>
            <w:tcMar>
              <w:top w:w="80" w:type="dxa"/>
              <w:bottom w:w="80" w:type="dxa"/>
              <w:start w:w="120" w:type="dxa"/>
              <w:end w:w="120" w:type="dxa"/>
            </w:tcMar>
          </w:tcPr>
          <w:p>
            <w:pPr>
              <w:pStyle w:val="TableHeader"/>
            </w:pPr>
            <w:r>
              <w:t>Load-bearing job</w:t>
            </w:r>
          </w:p>
        </w:tc>
        <w:tc>
          <w:tcPr>
            <w:tcW w:type="dxa" w:w="4510"/>
            <w:shd w:fill="E8EEF5"/>
            <w:vAlign w:val="center"/>
            <w:tcMar>
              <w:top w:w="80" w:type="dxa"/>
              <w:bottom w:w="80" w:type="dxa"/>
              <w:start w:w="120" w:type="dxa"/>
              <w:end w:w="120" w:type="dxa"/>
            </w:tcMar>
          </w:tcPr>
          <w:p>
            <w:pPr>
              <w:pStyle w:val="TableHeader"/>
            </w:pPr>
            <w:r>
              <w:t>Primary files</w:t>
            </w:r>
          </w:p>
        </w:tc>
      </w:tr>
      <w:tr>
        <w:tc>
          <w:tcPr>
            <w:tcW w:type="dxa" w:w="1200"/>
            <w:vAlign w:val="center"/>
            <w:tcMar>
              <w:top w:w="80" w:type="dxa"/>
              <w:bottom w:w="80" w:type="dxa"/>
              <w:start w:w="120" w:type="dxa"/>
              <w:end w:w="120" w:type="dxa"/>
            </w:tcMar>
          </w:tcPr>
          <w:p>
            <w:pPr>
              <w:pStyle w:val="TableText"/>
            </w:pPr>
            <w:r>
              <w:t>Data</w:t>
            </w:r>
          </w:p>
        </w:tc>
        <w:tc>
          <w:tcPr>
            <w:tcW w:type="dxa" w:w="3650"/>
            <w:vAlign w:val="center"/>
            <w:tcMar>
              <w:top w:w="80" w:type="dxa"/>
              <w:bottom w:w="80" w:type="dxa"/>
              <w:start w:w="120" w:type="dxa"/>
              <w:end w:w="120" w:type="dxa"/>
            </w:tcMar>
          </w:tcPr>
          <w:p>
            <w:pPr>
              <w:pStyle w:val="TableText"/>
            </w:pPr>
            <w:r>
              <w:t>Reproducible synthetic price history</w:t>
            </w:r>
          </w:p>
        </w:tc>
        <w:tc>
          <w:tcPr>
            <w:tcW w:type="dxa" w:w="4510"/>
            <w:vAlign w:val="center"/>
            <w:tcMar>
              <w:top w:w="80" w:type="dxa"/>
              <w:bottom w:w="80" w:type="dxa"/>
              <w:start w:w="120" w:type="dxa"/>
              <w:end w:w="120" w:type="dxa"/>
            </w:tcMar>
          </w:tcPr>
          <w:p>
            <w:pPr>
              <w:pStyle w:val="TableText"/>
            </w:pPr>
            <w:r>
              <w:t>risk_engine/dataset.py; data/prices.csv</w:t>
            </w:r>
          </w:p>
        </w:tc>
      </w:tr>
      <w:tr>
        <w:tc>
          <w:tcPr>
            <w:tcW w:type="dxa" w:w="1200"/>
            <w:vAlign w:val="center"/>
            <w:tcMar>
              <w:top w:w="80" w:type="dxa"/>
              <w:bottom w:w="80" w:type="dxa"/>
              <w:start w:w="120" w:type="dxa"/>
              <w:end w:w="120" w:type="dxa"/>
            </w:tcMar>
          </w:tcPr>
          <w:p>
            <w:pPr>
              <w:pStyle w:val="TableText"/>
            </w:pPr>
            <w:r>
              <w:t>Math</w:t>
            </w:r>
          </w:p>
        </w:tc>
        <w:tc>
          <w:tcPr>
            <w:tcW w:type="dxa" w:w="3650"/>
            <w:vAlign w:val="center"/>
            <w:tcMar>
              <w:top w:w="80" w:type="dxa"/>
              <w:bottom w:w="80" w:type="dxa"/>
              <w:start w:w="120" w:type="dxa"/>
              <w:end w:w="120" w:type="dxa"/>
            </w:tcMar>
          </w:tcPr>
          <w:p>
            <w:pPr>
              <w:pStyle w:val="TableText"/>
            </w:pPr>
            <w:r>
              <w:t>Compute volatility, concentration, drawdown, score</w:t>
            </w:r>
          </w:p>
        </w:tc>
        <w:tc>
          <w:tcPr>
            <w:tcW w:type="dxa" w:w="4510"/>
            <w:vAlign w:val="center"/>
            <w:tcMar>
              <w:top w:w="80" w:type="dxa"/>
              <w:bottom w:w="80" w:type="dxa"/>
              <w:start w:w="120" w:type="dxa"/>
              <w:end w:w="120" w:type="dxa"/>
            </w:tcMar>
          </w:tcPr>
          <w:p>
            <w:pPr>
              <w:pStyle w:val="TableText"/>
            </w:pPr>
            <w:r>
              <w:t>risk_engine/metrics.py; score.py; sample.py</w:t>
            </w:r>
          </w:p>
        </w:tc>
      </w:tr>
      <w:tr>
        <w:tc>
          <w:tcPr>
            <w:tcW w:type="dxa" w:w="1200"/>
            <w:vAlign w:val="center"/>
            <w:tcMar>
              <w:top w:w="80" w:type="dxa"/>
              <w:bottom w:w="80" w:type="dxa"/>
              <w:start w:w="120" w:type="dxa"/>
              <w:end w:w="120" w:type="dxa"/>
            </w:tcMar>
          </w:tcPr>
          <w:p>
            <w:pPr>
              <w:pStyle w:val="TableText"/>
            </w:pPr>
            <w:r>
              <w:t>Contract</w:t>
            </w:r>
          </w:p>
        </w:tc>
        <w:tc>
          <w:tcPr>
            <w:tcW w:type="dxa" w:w="3650"/>
            <w:vAlign w:val="center"/>
            <w:tcMar>
              <w:top w:w="80" w:type="dxa"/>
              <w:bottom w:w="80" w:type="dxa"/>
              <w:start w:w="120" w:type="dxa"/>
              <w:end w:w="120" w:type="dxa"/>
            </w:tcMar>
          </w:tcPr>
          <w:p>
            <w:pPr>
              <w:pStyle w:val="TableText"/>
            </w:pPr>
            <w:r>
              <w:t>Define validated facts and report shape</w:t>
            </w:r>
          </w:p>
        </w:tc>
        <w:tc>
          <w:tcPr>
            <w:tcW w:type="dxa" w:w="4510"/>
            <w:vAlign w:val="center"/>
            <w:tcMar>
              <w:top w:w="80" w:type="dxa"/>
              <w:bottom w:w="80" w:type="dxa"/>
              <w:start w:w="120" w:type="dxa"/>
              <w:end w:w="120" w:type="dxa"/>
            </w:tcMar>
          </w:tcPr>
          <w:p>
            <w:pPr>
              <w:pStyle w:val="TableText"/>
            </w:pPr>
            <w:r>
              <w:t>schema.py</w:t>
            </w:r>
          </w:p>
        </w:tc>
      </w:tr>
      <w:tr>
        <w:tc>
          <w:tcPr>
            <w:tcW w:type="dxa" w:w="1200"/>
            <w:vAlign w:val="center"/>
            <w:tcMar>
              <w:top w:w="80" w:type="dxa"/>
              <w:bottom w:w="80" w:type="dxa"/>
              <w:start w:w="120" w:type="dxa"/>
              <w:end w:w="120" w:type="dxa"/>
            </w:tcMar>
          </w:tcPr>
          <w:p>
            <w:pPr>
              <w:pStyle w:val="TableText"/>
            </w:pPr>
            <w:r>
              <w:t>AI</w:t>
            </w:r>
          </w:p>
        </w:tc>
        <w:tc>
          <w:tcPr>
            <w:tcW w:type="dxa" w:w="3650"/>
            <w:vAlign w:val="center"/>
            <w:tcMar>
              <w:top w:w="80" w:type="dxa"/>
              <w:bottom w:w="80" w:type="dxa"/>
              <w:start w:w="120" w:type="dxa"/>
              <w:end w:w="120" w:type="dxa"/>
            </w:tcMar>
          </w:tcPr>
          <w:p>
            <w:pPr>
              <w:pStyle w:val="TableText"/>
            </w:pPr>
            <w:r>
              <w:t>Produce structured prose from facts</w:t>
            </w:r>
          </w:p>
        </w:tc>
        <w:tc>
          <w:tcPr>
            <w:tcW w:type="dxa" w:w="4510"/>
            <w:vAlign w:val="center"/>
            <w:tcMar>
              <w:top w:w="80" w:type="dxa"/>
              <w:bottom w:w="80" w:type="dxa"/>
              <w:start w:w="120" w:type="dxa"/>
              <w:end w:w="120" w:type="dxa"/>
            </w:tcMar>
          </w:tcPr>
          <w:p>
            <w:pPr>
              <w:pStyle w:val="TableText"/>
            </w:pPr>
            <w:r>
              <w:t>llm/openai_client.py; template.py</w:t>
            </w:r>
          </w:p>
        </w:tc>
      </w:tr>
      <w:tr>
        <w:tc>
          <w:tcPr>
            <w:tcW w:type="dxa" w:w="1200"/>
            <w:vAlign w:val="center"/>
            <w:tcMar>
              <w:top w:w="80" w:type="dxa"/>
              <w:bottom w:w="80" w:type="dxa"/>
              <w:start w:w="120" w:type="dxa"/>
              <w:end w:w="120" w:type="dxa"/>
            </w:tcMar>
          </w:tcPr>
          <w:p>
            <w:pPr>
              <w:pStyle w:val="TableText"/>
            </w:pPr>
            <w:r>
              <w:t>Safety</w:t>
            </w:r>
          </w:p>
        </w:tc>
        <w:tc>
          <w:tcPr>
            <w:tcW w:type="dxa" w:w="3650"/>
            <w:vAlign w:val="center"/>
            <w:tcMar>
              <w:top w:w="80" w:type="dxa"/>
              <w:bottom w:w="80" w:type="dxa"/>
              <w:start w:w="120" w:type="dxa"/>
              <w:end w:w="120" w:type="dxa"/>
            </w:tcMar>
          </w:tcPr>
          <w:p>
            <w:pPr>
              <w:pStyle w:val="TableText"/>
            </w:pPr>
            <w:r>
              <w:t>Reject ungrounded numeric claims; retry once; fail closed</w:t>
            </w:r>
          </w:p>
        </w:tc>
        <w:tc>
          <w:tcPr>
            <w:tcW w:type="dxa" w:w="4510"/>
            <w:vAlign w:val="center"/>
            <w:tcMar>
              <w:top w:w="80" w:type="dxa"/>
              <w:bottom w:w="80" w:type="dxa"/>
              <w:start w:w="120" w:type="dxa"/>
              <w:end w:w="120" w:type="dxa"/>
            </w:tcMar>
          </w:tcPr>
          <w:p>
            <w:pPr>
              <w:pStyle w:val="TableText"/>
            </w:pPr>
            <w:r>
              <w:t>llm/number_guardrail.py; explain.py</w:t>
            </w:r>
          </w:p>
        </w:tc>
      </w:tr>
      <w:tr>
        <w:tc>
          <w:tcPr>
            <w:tcW w:type="dxa" w:w="1200"/>
            <w:vAlign w:val="center"/>
            <w:tcMar>
              <w:top w:w="80" w:type="dxa"/>
              <w:bottom w:w="80" w:type="dxa"/>
              <w:start w:w="120" w:type="dxa"/>
              <w:end w:w="120" w:type="dxa"/>
            </w:tcMar>
          </w:tcPr>
          <w:p>
            <w:pPr>
              <w:pStyle w:val="TableText"/>
            </w:pPr>
            <w:r>
              <w:t>Service</w:t>
            </w:r>
          </w:p>
        </w:tc>
        <w:tc>
          <w:tcPr>
            <w:tcW w:type="dxa" w:w="3650"/>
            <w:vAlign w:val="center"/>
            <w:tcMar>
              <w:top w:w="80" w:type="dxa"/>
              <w:bottom w:w="80" w:type="dxa"/>
              <w:start w:w="120" w:type="dxa"/>
              <w:end w:w="120" w:type="dxa"/>
            </w:tcMar>
          </w:tcPr>
          <w:p>
            <w:pPr>
              <w:pStyle w:val="TableText"/>
            </w:pPr>
            <w:r>
              <w:t>Protect and expose sample report</w:t>
            </w:r>
          </w:p>
        </w:tc>
        <w:tc>
          <w:tcPr>
            <w:tcW w:type="dxa" w:w="4510"/>
            <w:vAlign w:val="center"/>
            <w:tcMar>
              <w:top w:w="80" w:type="dxa"/>
              <w:bottom w:w="80" w:type="dxa"/>
              <w:start w:w="120" w:type="dxa"/>
              <w:end w:w="120" w:type="dxa"/>
            </w:tcMar>
          </w:tcPr>
          <w:p>
            <w:pPr>
              <w:pStyle w:val="TableText"/>
            </w:pPr>
            <w:r>
              <w:t>main.py; report.py; config.py</w:t>
            </w:r>
          </w:p>
        </w:tc>
      </w:tr>
      <w:tr>
        <w:tc>
          <w:tcPr>
            <w:tcW w:type="dxa" w:w="1200"/>
            <w:vAlign w:val="center"/>
            <w:tcMar>
              <w:top w:w="80" w:type="dxa"/>
              <w:bottom w:w="80" w:type="dxa"/>
              <w:start w:w="120" w:type="dxa"/>
              <w:end w:w="120" w:type="dxa"/>
            </w:tcMar>
          </w:tcPr>
          <w:p>
            <w:pPr>
              <w:pStyle w:val="TableText"/>
            </w:pPr>
            <w:r>
              <w:t>Web</w:t>
            </w:r>
          </w:p>
        </w:tc>
        <w:tc>
          <w:tcPr>
            <w:tcW w:type="dxa" w:w="3650"/>
            <w:vAlign w:val="center"/>
            <w:tcMar>
              <w:top w:w="80" w:type="dxa"/>
              <w:bottom w:w="80" w:type="dxa"/>
              <w:start w:w="120" w:type="dxa"/>
              <w:end w:w="120" w:type="dxa"/>
            </w:tcMar>
          </w:tcPr>
          <w:p>
            <w:pPr>
              <w:pStyle w:val="TableText"/>
            </w:pPr>
            <w:r>
              <w:t>Server-render report; fall back to committed snapshot</w:t>
            </w:r>
          </w:p>
        </w:tc>
        <w:tc>
          <w:tcPr>
            <w:tcW w:type="dxa" w:w="4510"/>
            <w:vAlign w:val="center"/>
            <w:tcMar>
              <w:top w:w="80" w:type="dxa"/>
              <w:bottom w:w="80" w:type="dxa"/>
              <w:start w:w="120" w:type="dxa"/>
              <w:end w:w="120" w:type="dxa"/>
            </w:tcMar>
          </w:tcPr>
          <w:p>
            <w:pPr>
              <w:pStyle w:val="TableText"/>
            </w:pPr>
            <w:r>
              <w:t>frontend/src/app/page.tsx; lib/backend.ts</w:t>
            </w:r>
          </w:p>
        </w:tc>
      </w:tr>
      <w:tr>
        <w:tc>
          <w:tcPr>
            <w:tcW w:type="dxa" w:w="1200"/>
            <w:vAlign w:val="center"/>
            <w:tcMar>
              <w:top w:w="80" w:type="dxa"/>
              <w:bottom w:w="80" w:type="dxa"/>
              <w:start w:w="120" w:type="dxa"/>
              <w:end w:w="120" w:type="dxa"/>
            </w:tcMar>
          </w:tcPr>
          <w:p>
            <w:pPr>
              <w:pStyle w:val="TableText"/>
            </w:pPr>
            <w:r>
              <w:t>Proof</w:t>
            </w:r>
          </w:p>
        </w:tc>
        <w:tc>
          <w:tcPr>
            <w:tcW w:type="dxa" w:w="3650"/>
            <w:vAlign w:val="center"/>
            <w:tcMar>
              <w:top w:w="80" w:type="dxa"/>
              <w:bottom w:w="80" w:type="dxa"/>
              <w:start w:w="120" w:type="dxa"/>
              <w:end w:w="120" w:type="dxa"/>
            </w:tcMar>
          </w:tcPr>
          <w:p>
            <w:pPr>
              <w:pStyle w:val="TableText"/>
            </w:pPr>
            <w:r>
              <w:t>Test formulas, boundaries, and fallback paths</w:t>
            </w:r>
          </w:p>
        </w:tc>
        <w:tc>
          <w:tcPr>
            <w:tcW w:type="dxa" w:w="4510"/>
            <w:vAlign w:val="center"/>
            <w:tcMar>
              <w:top w:w="80" w:type="dxa"/>
              <w:bottom w:w="80" w:type="dxa"/>
              <w:start w:w="120" w:type="dxa"/>
              <w:end w:w="120" w:type="dxa"/>
            </w:tcMar>
          </w:tcPr>
          <w:p>
            <w:pPr>
              <w:pStyle w:val="TableText"/>
            </w:pPr>
            <w:r>
              <w:t>backend/tests; .github/workflows/ci.yml</w:t>
            </w:r>
          </w:p>
        </w:tc>
      </w:tr>
    </w:tbl>
    <w:p>
      <w:pPr>
        <w:spacing w:after="40"/>
      </w:pPr>
    </w:p>
    <w:p>
      <w:pPr>
        <w:pStyle w:val="Heading2"/>
      </w:pPr>
      <w:r>
        <w:t>What exists now</w:t>
      </w:r>
    </w:p>
    <w:p>
      <w:pPr>
        <w:numPr>
          <w:ilvl w:val="0"/>
          <w:numId w:val="51"/>
        </w:numPr>
        <w:spacing w:after="80" w:line="300" w:lineRule="auto"/>
      </w:pPr>
      <w:r>
        <w:t>Implemented: deterministic risk engine, FastAPI report service, Pydantic schemas, live Structured Outputs call, numeric guardrail, one regeneration, deterministic fallback, Next.js dashboard, Docker setup, CI, fixture eval.</w:t>
      </w:r>
    </w:p>
    <w:p>
      <w:pPr>
        <w:numPr>
          <w:ilvl w:val="0"/>
          <w:numId w:val="51"/>
        </w:numPr>
        <w:spacing w:after="80" w:line="300" w:lineRule="auto"/>
      </w:pPr>
      <w:r>
        <w:t>Deliberately omitted in v1: authentication, database, portfolio upload, report history, RAG, scenario simulator, real market feed, Tailwind, shadcn/ui, Recharts.</w:t>
      </w:r>
    </w:p>
    <w:p>
      <w:pPr>
        <w:numPr>
          <w:ilvl w:val="0"/>
          <w:numId w:val="51"/>
        </w:numPr>
        <w:spacing w:after="80" w:line="300" w:lineRule="auto"/>
      </w:pPr>
      <w:r>
        <w:t>Current sample facts: score 67.0/100, aggressive band, 73.8% top-three concentration, 27.3% annualized volatility, -54.0% max drawdown, 68.5% Technology, five holdings.</w:t>
      </w:r>
    </w:p>
    <w:p>
      <w:pPr>
        <w:numPr>
          <w:ilvl w:val="0"/>
          <w:numId w:val="51"/>
        </w:numPr>
        <w:spacing w:after="80" w:line="300" w:lineRule="auto"/>
      </w:pPr>
      <w:r>
        <w:t>Live Vercel page can work without Python hosting because the Next.js server falls back to a committed report snapshot.</w:t>
      </w:r>
    </w:p>
    <w:p>
      <w:pPr>
        <w:pStyle w:val="Heading2"/>
      </w:pPr>
      <w:r>
        <w:t>Use this guide</w:t>
      </w:r>
    </w:p>
    <w:p>
      <w:pPr>
        <w:numPr>
          <w:ilvl w:val="0"/>
          <w:numId w:val="52"/>
        </w:numPr>
        <w:spacing w:after="80" w:line="300" w:lineRule="auto"/>
      </w:pPr>
      <w:r>
        <w:t>Learn Sections 1–5 until you can draw the request and data flow without notes.</w:t>
      </w:r>
    </w:p>
    <w:p>
      <w:pPr>
        <w:numPr>
          <w:ilvl w:val="0"/>
          <w:numId w:val="52"/>
        </w:numPr>
        <w:spacing w:after="80" w:line="300" w:lineRule="auto"/>
      </w:pPr>
      <w:r>
        <w:t>Practice the short answers in Section 9. Do not memorize wording; preserve the technical claims.</w:t>
      </w:r>
    </w:p>
    <w:p>
      <w:pPr>
        <w:numPr>
          <w:ilvl w:val="0"/>
          <w:numId w:val="52"/>
        </w:numPr>
        <w:spacing w:after="80" w:line="300" w:lineRule="auto"/>
      </w:pPr>
      <w:r>
        <w:t>Use Section 10 for mock questions. Answer first, then compare with the strong answer.</w:t>
      </w:r>
    </w:p>
    <w:p>
      <w:pPr>
        <w:numPr>
          <w:ilvl w:val="0"/>
          <w:numId w:val="52"/>
        </w:numPr>
        <w:spacing w:after="80" w:line="300" w:lineRule="auto"/>
      </w:pPr>
      <w:r>
        <w:t>Use Section 11 to stay honest about current gaps. Interviewers reward clear tradeoff ownership.</w:t>
      </w:r>
    </w:p>
    <w:p>
      <w:pPr>
        <w:numPr>
          <w:ilvl w:val="0"/>
          <w:numId w:val="52"/>
        </w:numPr>
        <w:spacing w:after="80" w:line="300" w:lineRule="auto"/>
      </w:pPr>
      <w:r>
        <w:t>Finish with the seven-day drill in Section 12.</w:t>
      </w:r>
    </w:p>
    <w:p>
      <w:pPr>
        <w:pStyle w:val="Heading2"/>
      </w:pPr>
      <w:r>
        <w:t>Contents</w:t>
      </w:r>
    </w:p>
    <w:p>
      <w:pPr>
        <w:numPr>
          <w:ilvl w:val="0"/>
          <w:numId w:val="51"/>
        </w:numPr>
        <w:spacing w:after="80" w:line="300" w:lineRule="auto"/>
      </w:pPr>
      <w:r>
        <w:t>1. How the project was built</w:t>
      </w:r>
    </w:p>
    <w:p>
      <w:pPr>
        <w:numPr>
          <w:ilvl w:val="0"/>
          <w:numId w:val="51"/>
        </w:numPr>
        <w:spacing w:after="80" w:line="300" w:lineRule="auto"/>
      </w:pPr>
      <w:r>
        <w:t>2. End-to-end architecture</w:t>
      </w:r>
    </w:p>
    <w:p>
      <w:pPr>
        <w:numPr>
          <w:ilvl w:val="0"/>
          <w:numId w:val="51"/>
        </w:numPr>
        <w:spacing w:after="80" w:line="300" w:lineRule="auto"/>
      </w:pPr>
      <w:r>
        <w:t>3. Deterministic risk engine</w:t>
      </w:r>
    </w:p>
    <w:p>
      <w:pPr>
        <w:numPr>
          <w:ilvl w:val="0"/>
          <w:numId w:val="51"/>
        </w:numPr>
        <w:spacing w:after="80" w:line="300" w:lineRule="auto"/>
      </w:pPr>
      <w:r>
        <w:t>4. Guardrailed LLM pipeline</w:t>
      </w:r>
    </w:p>
    <w:p>
      <w:pPr>
        <w:numPr>
          <w:ilvl w:val="0"/>
          <w:numId w:val="51"/>
        </w:numPr>
        <w:spacing w:after="80" w:line="300" w:lineRule="auto"/>
      </w:pPr>
      <w:r>
        <w:t>5. API, frontend, deployment, and fallback behavior</w:t>
      </w:r>
    </w:p>
    <w:p>
      <w:pPr>
        <w:numPr>
          <w:ilvl w:val="0"/>
          <w:numId w:val="51"/>
        </w:numPr>
        <w:spacing w:after="80" w:line="300" w:lineRule="auto"/>
      </w:pPr>
      <w:r>
        <w:t>6. Technology choices and alternatives</w:t>
      </w:r>
    </w:p>
    <w:p>
      <w:pPr>
        <w:numPr>
          <w:ilvl w:val="0"/>
          <w:numId w:val="51"/>
        </w:numPr>
        <w:spacing w:after="80" w:line="300" w:lineRule="auto"/>
      </w:pPr>
      <w:r>
        <w:t>7. Verification evidence</w:t>
      </w:r>
    </w:p>
    <w:p>
      <w:pPr>
        <w:numPr>
          <w:ilvl w:val="0"/>
          <w:numId w:val="51"/>
        </w:numPr>
        <w:spacing w:after="80" w:line="300" w:lineRule="auto"/>
      </w:pPr>
      <w:r>
        <w:t>8. The eight files to know cold</w:t>
      </w:r>
    </w:p>
    <w:p>
      <w:pPr>
        <w:numPr>
          <w:ilvl w:val="0"/>
          <w:numId w:val="51"/>
        </w:numPr>
        <w:spacing w:after="80" w:line="300" w:lineRule="auto"/>
      </w:pPr>
      <w:r>
        <w:t>9. Interview answer scripts</w:t>
      </w:r>
    </w:p>
    <w:p>
      <w:pPr>
        <w:numPr>
          <w:ilvl w:val="0"/>
          <w:numId w:val="51"/>
        </w:numPr>
        <w:spacing w:after="80" w:line="300" w:lineRule="auto"/>
      </w:pPr>
      <w:r>
        <w:t>10. Technical question bank</w:t>
      </w:r>
    </w:p>
    <w:p>
      <w:pPr>
        <w:numPr>
          <w:ilvl w:val="0"/>
          <w:numId w:val="51"/>
        </w:numPr>
        <w:spacing w:after="80" w:line="300" w:lineRule="auto"/>
      </w:pPr>
      <w:r>
        <w:t>11. Honest limitations and next improvements</w:t>
      </w:r>
    </w:p>
    <w:p>
      <w:pPr>
        <w:numPr>
          <w:ilvl w:val="0"/>
          <w:numId w:val="51"/>
        </w:numPr>
        <w:spacing w:after="80" w:line="300" w:lineRule="auto"/>
      </w:pPr>
      <w:r>
        <w:t>12. Seven-day study plan and final cheat sheet</w:t>
      </w:r>
    </w:p>
    <w:p>
      <w:r>
        <w:br w:type="page"/>
      </w:r>
    </w:p>
    <w:p>
      <w:pPr>
        <w:pStyle w:val="Heading1"/>
      </w:pPr>
      <w:r>
        <w:t>1. How the project was built</w:t>
      </w:r>
    </w:p>
    <w:p>
      <w:pPr>
        <w:pStyle w:val="Lead"/>
      </w:pPr>
      <w:r>
        <w:t>The repository history shows a scope-first build: establish the safe full-stack skeleton, make the math real, keep the demo available without infrastructure, then add the live model path. This sequence reduced finish risk and made each stage runnable.</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180"/>
        <w:gridCol w:w="3450"/>
        <w:gridCol w:w="4730"/>
      </w:tblGrid>
      <w:tr>
        <w:trPr>
          <w:tblHeader w:val="true"/>
        </w:trPr>
        <w:tc>
          <w:tcPr>
            <w:tcW w:type="dxa" w:w="1180"/>
            <w:shd w:fill="E8EEF5"/>
            <w:vAlign w:val="center"/>
            <w:tcMar>
              <w:top w:w="80" w:type="dxa"/>
              <w:bottom w:w="80" w:type="dxa"/>
              <w:start w:w="120" w:type="dxa"/>
              <w:end w:w="120" w:type="dxa"/>
            </w:tcMar>
          </w:tcPr>
          <w:p>
            <w:pPr>
              <w:pStyle w:val="TableHeader"/>
            </w:pPr>
            <w:r>
              <w:t>Step</w:t>
            </w:r>
          </w:p>
        </w:tc>
        <w:tc>
          <w:tcPr>
            <w:tcW w:type="dxa" w:w="3450"/>
            <w:shd w:fill="E8EEF5"/>
            <w:vAlign w:val="center"/>
            <w:tcMar>
              <w:top w:w="80" w:type="dxa"/>
              <w:bottom w:w="80" w:type="dxa"/>
              <w:start w:w="120" w:type="dxa"/>
              <w:end w:w="120" w:type="dxa"/>
            </w:tcMar>
          </w:tcPr>
          <w:p>
            <w:pPr>
              <w:pStyle w:val="TableHeader"/>
            </w:pPr>
            <w:r>
              <w:t>What landed</w:t>
            </w:r>
          </w:p>
        </w:tc>
        <w:tc>
          <w:tcPr>
            <w:tcW w:type="dxa" w:w="4730"/>
            <w:shd w:fill="E8EEF5"/>
            <w:vAlign w:val="center"/>
            <w:tcMar>
              <w:top w:w="80" w:type="dxa"/>
              <w:bottom w:w="80" w:type="dxa"/>
              <w:start w:w="120" w:type="dxa"/>
              <w:end w:w="120" w:type="dxa"/>
            </w:tcMar>
          </w:tcPr>
          <w:p>
            <w:pPr>
              <w:pStyle w:val="TableHeader"/>
            </w:pPr>
            <w:r>
              <w:t>Engineering reason</w:t>
            </w:r>
          </w:p>
        </w:tc>
      </w:tr>
      <w:tr>
        <w:tc>
          <w:tcPr>
            <w:tcW w:type="dxa" w:w="1180"/>
            <w:vAlign w:val="center"/>
            <w:tcMar>
              <w:top w:w="80" w:type="dxa"/>
              <w:bottom w:w="80" w:type="dxa"/>
              <w:start w:w="120" w:type="dxa"/>
              <w:end w:w="120" w:type="dxa"/>
            </w:tcMar>
          </w:tcPr>
          <w:p>
            <w:pPr>
              <w:pStyle w:val="TableText"/>
            </w:pPr>
            <w:r>
              <w:t>M1 skeleton</w:t>
            </w:r>
          </w:p>
        </w:tc>
        <w:tc>
          <w:tcPr>
            <w:tcW w:type="dxa" w:w="3450"/>
            <w:vAlign w:val="center"/>
            <w:tcMar>
              <w:top w:w="80" w:type="dxa"/>
              <w:bottom w:w="80" w:type="dxa"/>
              <w:start w:w="120" w:type="dxa"/>
              <w:end w:w="120" w:type="dxa"/>
            </w:tcMar>
          </w:tcPr>
          <w:p>
            <w:pPr>
              <w:pStyle w:val="TableText"/>
            </w:pPr>
            <w:r>
              <w:t>FastAPI + Next.js + DEMO_MODE + initial guardrail</w:t>
            </w:r>
          </w:p>
        </w:tc>
        <w:tc>
          <w:tcPr>
            <w:tcW w:type="dxa" w:w="4730"/>
            <w:vAlign w:val="center"/>
            <w:tcMar>
              <w:top w:w="80" w:type="dxa"/>
              <w:bottom w:w="80" w:type="dxa"/>
              <w:start w:w="120" w:type="dxa"/>
              <w:end w:w="120" w:type="dxa"/>
            </w:tcMar>
          </w:tcPr>
          <w:p>
            <w:pPr>
              <w:pStyle w:val="TableText"/>
            </w:pPr>
            <w:r>
              <w:t>Prove topology and no-key path before adding feature depth.</w:t>
            </w:r>
          </w:p>
        </w:tc>
      </w:tr>
      <w:tr>
        <w:tc>
          <w:tcPr>
            <w:tcW w:type="dxa" w:w="1180"/>
            <w:vAlign w:val="center"/>
            <w:tcMar>
              <w:top w:w="80" w:type="dxa"/>
              <w:bottom w:w="80" w:type="dxa"/>
              <w:start w:w="120" w:type="dxa"/>
              <w:end w:w="120" w:type="dxa"/>
            </w:tcMar>
          </w:tcPr>
          <w:p>
            <w:pPr>
              <w:pStyle w:val="TableText"/>
            </w:pPr>
            <w:r>
              <w:t>Dependency patch</w:t>
            </w:r>
          </w:p>
        </w:tc>
        <w:tc>
          <w:tcPr>
            <w:tcW w:type="dxa" w:w="3450"/>
            <w:vAlign w:val="center"/>
            <w:tcMar>
              <w:top w:w="80" w:type="dxa"/>
              <w:bottom w:w="80" w:type="dxa"/>
              <w:start w:w="120" w:type="dxa"/>
              <w:end w:w="120" w:type="dxa"/>
            </w:tcMar>
          </w:tcPr>
          <w:p>
            <w:pPr>
              <w:pStyle w:val="TableText"/>
            </w:pPr>
            <w:r>
              <w:t>Next.js pinned to 15.5.19</w:t>
            </w:r>
          </w:p>
        </w:tc>
        <w:tc>
          <w:tcPr>
            <w:tcW w:type="dxa" w:w="4730"/>
            <w:vAlign w:val="center"/>
            <w:tcMar>
              <w:top w:w="80" w:type="dxa"/>
              <w:bottom w:w="80" w:type="dxa"/>
              <w:start w:w="120" w:type="dxa"/>
              <w:end w:w="120" w:type="dxa"/>
            </w:tcMar>
          </w:tcPr>
          <w:p>
            <w:pPr>
              <w:pStyle w:val="TableText"/>
            </w:pPr>
            <w:r>
              <w:t>Deployment security gate required a patched framework version.</w:t>
            </w:r>
          </w:p>
        </w:tc>
      </w:tr>
      <w:tr>
        <w:tc>
          <w:tcPr>
            <w:tcW w:type="dxa" w:w="1180"/>
            <w:vAlign w:val="center"/>
            <w:tcMar>
              <w:top w:w="80" w:type="dxa"/>
              <w:bottom w:w="80" w:type="dxa"/>
              <w:start w:w="120" w:type="dxa"/>
              <w:end w:w="120" w:type="dxa"/>
            </w:tcMar>
          </w:tcPr>
          <w:p>
            <w:pPr>
              <w:pStyle w:val="TableText"/>
            </w:pPr>
            <w:r>
              <w:t>Public demo</w:t>
            </w:r>
          </w:p>
        </w:tc>
        <w:tc>
          <w:tcPr>
            <w:tcW w:type="dxa" w:w="3450"/>
            <w:vAlign w:val="center"/>
            <w:tcMar>
              <w:top w:w="80" w:type="dxa"/>
              <w:bottom w:w="80" w:type="dxa"/>
              <w:start w:w="120" w:type="dxa"/>
              <w:end w:w="120" w:type="dxa"/>
            </w:tcMar>
          </w:tcPr>
          <w:p>
            <w:pPr>
              <w:pStyle w:val="TableText"/>
            </w:pPr>
            <w:r>
              <w:t>Vercel URL documented</w:t>
            </w:r>
          </w:p>
        </w:tc>
        <w:tc>
          <w:tcPr>
            <w:tcW w:type="dxa" w:w="4730"/>
            <w:vAlign w:val="center"/>
            <w:tcMar>
              <w:top w:w="80" w:type="dxa"/>
              <w:bottom w:w="80" w:type="dxa"/>
              <w:start w:w="120" w:type="dxa"/>
              <w:end w:w="120" w:type="dxa"/>
            </w:tcMar>
          </w:tcPr>
          <w:p>
            <w:pPr>
              <w:pStyle w:val="TableText"/>
            </w:pPr>
            <w:r>
              <w:t>Recruiters can evaluate without local setup.</w:t>
            </w:r>
          </w:p>
        </w:tc>
      </w:tr>
      <w:tr>
        <w:tc>
          <w:tcPr>
            <w:tcW w:type="dxa" w:w="1180"/>
            <w:vAlign w:val="center"/>
            <w:tcMar>
              <w:top w:w="80" w:type="dxa"/>
              <w:bottom w:w="80" w:type="dxa"/>
              <w:start w:w="120" w:type="dxa"/>
              <w:end w:w="120" w:type="dxa"/>
            </w:tcMar>
          </w:tcPr>
          <w:p>
            <w:pPr>
              <w:pStyle w:val="TableText"/>
            </w:pPr>
            <w:r>
              <w:t>Real math</w:t>
            </w:r>
          </w:p>
        </w:tc>
        <w:tc>
          <w:tcPr>
            <w:tcW w:type="dxa" w:w="3450"/>
            <w:vAlign w:val="center"/>
            <w:tcMar>
              <w:top w:w="80" w:type="dxa"/>
              <w:bottom w:w="80" w:type="dxa"/>
              <w:start w:w="120" w:type="dxa"/>
              <w:end w:w="120" w:type="dxa"/>
            </w:tcMar>
          </w:tcPr>
          <w:p>
            <w:pPr>
              <w:pStyle w:val="TableText"/>
            </w:pPr>
            <w:r>
              <w:t>Synthetic correlated data and tested metrics</w:t>
            </w:r>
          </w:p>
        </w:tc>
        <w:tc>
          <w:tcPr>
            <w:tcW w:type="dxa" w:w="4730"/>
            <w:vAlign w:val="center"/>
            <w:tcMar>
              <w:top w:w="80" w:type="dxa"/>
              <w:bottom w:w="80" w:type="dxa"/>
              <w:start w:w="120" w:type="dxa"/>
              <w:end w:w="120" w:type="dxa"/>
            </w:tcMar>
          </w:tcPr>
          <w:p>
            <w:pPr>
              <w:pStyle w:val="TableText"/>
            </w:pPr>
            <w:r>
              <w:t>Replace hand-set numbers with reproducible computation.</w:t>
            </w:r>
          </w:p>
        </w:tc>
      </w:tr>
      <w:tr>
        <w:tc>
          <w:tcPr>
            <w:tcW w:type="dxa" w:w="1180"/>
            <w:vAlign w:val="center"/>
            <w:tcMar>
              <w:top w:w="80" w:type="dxa"/>
              <w:bottom w:w="80" w:type="dxa"/>
              <w:start w:w="120" w:type="dxa"/>
              <w:end w:w="120" w:type="dxa"/>
            </w:tcMar>
          </w:tcPr>
          <w:p>
            <w:pPr>
              <w:pStyle w:val="TableText"/>
            </w:pPr>
            <w:r>
              <w:t>Resilient demo</w:t>
            </w:r>
          </w:p>
        </w:tc>
        <w:tc>
          <w:tcPr>
            <w:tcW w:type="dxa" w:w="3450"/>
            <w:vAlign w:val="center"/>
            <w:tcMar>
              <w:top w:w="80" w:type="dxa"/>
              <w:bottom w:w="80" w:type="dxa"/>
              <w:start w:w="120" w:type="dxa"/>
              <w:end w:w="120" w:type="dxa"/>
            </w:tcMar>
          </w:tcPr>
          <w:p>
            <w:pPr>
              <w:pStyle w:val="TableText"/>
            </w:pPr>
            <w:r>
              <w:t>Committed report fixture</w:t>
            </w:r>
          </w:p>
        </w:tc>
        <w:tc>
          <w:tcPr>
            <w:tcW w:type="dxa" w:w="4730"/>
            <w:vAlign w:val="center"/>
            <w:tcMar>
              <w:top w:w="80" w:type="dxa"/>
              <w:bottom w:w="80" w:type="dxa"/>
              <w:start w:w="120" w:type="dxa"/>
              <w:end w:w="120" w:type="dxa"/>
            </w:tcMar>
          </w:tcPr>
          <w:p>
            <w:pPr>
              <w:pStyle w:val="TableText"/>
            </w:pPr>
            <w:r>
              <w:t>Keep UI fast and available if private backend sleeps or is absent.</w:t>
            </w:r>
          </w:p>
        </w:tc>
      </w:tr>
      <w:tr>
        <w:tc>
          <w:tcPr>
            <w:tcW w:type="dxa" w:w="1180"/>
            <w:vAlign w:val="center"/>
            <w:tcMar>
              <w:top w:w="80" w:type="dxa"/>
              <w:bottom w:w="80" w:type="dxa"/>
              <w:start w:w="120" w:type="dxa"/>
              <w:end w:w="120" w:type="dxa"/>
            </w:tcMar>
          </w:tcPr>
          <w:p>
            <w:pPr>
              <w:pStyle w:val="TableText"/>
            </w:pPr>
            <w:r>
              <w:t>Open source</w:t>
            </w:r>
          </w:p>
        </w:tc>
        <w:tc>
          <w:tcPr>
            <w:tcW w:type="dxa" w:w="3450"/>
            <w:vAlign w:val="center"/>
            <w:tcMar>
              <w:top w:w="80" w:type="dxa"/>
              <w:bottom w:w="80" w:type="dxa"/>
              <w:start w:w="120" w:type="dxa"/>
              <w:end w:w="120" w:type="dxa"/>
            </w:tcMar>
          </w:tcPr>
          <w:p>
            <w:pPr>
              <w:pStyle w:val="TableText"/>
            </w:pPr>
            <w:r>
              <w:t>Contribution docs, issue templates, code of conduct</w:t>
            </w:r>
          </w:p>
        </w:tc>
        <w:tc>
          <w:tcPr>
            <w:tcW w:type="dxa" w:w="4730"/>
            <w:vAlign w:val="center"/>
            <w:tcMar>
              <w:top w:w="80" w:type="dxa"/>
              <w:bottom w:w="80" w:type="dxa"/>
              <w:start w:w="120" w:type="dxa"/>
              <w:end w:w="120" w:type="dxa"/>
            </w:tcMar>
          </w:tcPr>
          <w:p>
            <w:pPr>
              <w:pStyle w:val="TableText"/>
            </w:pPr>
            <w:r>
              <w:t>Turn repository into a credible maintained project.</w:t>
            </w:r>
          </w:p>
        </w:tc>
      </w:tr>
      <w:tr>
        <w:tc>
          <w:tcPr>
            <w:tcW w:type="dxa" w:w="1180"/>
            <w:vAlign w:val="center"/>
            <w:tcMar>
              <w:top w:w="80" w:type="dxa"/>
              <w:bottom w:w="80" w:type="dxa"/>
              <w:start w:w="120" w:type="dxa"/>
              <w:end w:w="120" w:type="dxa"/>
            </w:tcMar>
          </w:tcPr>
          <w:p>
            <w:pPr>
              <w:pStyle w:val="TableText"/>
            </w:pPr>
            <w:r>
              <w:t>Live AI</w:t>
            </w:r>
          </w:p>
        </w:tc>
        <w:tc>
          <w:tcPr>
            <w:tcW w:type="dxa" w:w="3450"/>
            <w:vAlign w:val="center"/>
            <w:tcMar>
              <w:top w:w="80" w:type="dxa"/>
              <w:bottom w:w="80" w:type="dxa"/>
              <w:start w:w="120" w:type="dxa"/>
              <w:end w:w="120" w:type="dxa"/>
            </w:tcMar>
          </w:tcPr>
          <w:p>
            <w:pPr>
              <w:pStyle w:val="TableText"/>
            </w:pPr>
            <w:r>
              <w:t>Structured Outputs + guardrail pipeline + tests</w:t>
            </w:r>
          </w:p>
        </w:tc>
        <w:tc>
          <w:tcPr>
            <w:tcW w:type="dxa" w:w="4730"/>
            <w:vAlign w:val="center"/>
            <w:tcMar>
              <w:top w:w="80" w:type="dxa"/>
              <w:bottom w:w="80" w:type="dxa"/>
              <w:start w:w="120" w:type="dxa"/>
              <w:end w:w="120" w:type="dxa"/>
            </w:tcMar>
          </w:tcPr>
          <w:p>
            <w:pPr>
              <w:pStyle w:val="TableText"/>
            </w:pPr>
            <w:r>
              <w:t>Model can write prose while deterministic facts stay authoritative.</w:t>
            </w:r>
          </w:p>
        </w:tc>
      </w:tr>
    </w:tbl>
    <w:p>
      <w:pPr>
        <w:spacing w:after="40"/>
      </w:pPr>
    </w:p>
    <w:p>
      <w:pPr>
        <w:pStyle w:val="Heading2"/>
      </w:pPr>
      <w:r>
        <w:t>Build logic worth explaining</w:t>
      </w:r>
    </w:p>
    <w:p>
      <w:pPr>
        <w:numPr>
          <w:ilvl w:val="0"/>
          <w:numId w:val="51"/>
        </w:numPr>
        <w:spacing w:after="80" w:line="300" w:lineRule="auto"/>
      </w:pPr>
      <w:r>
        <w:t>Scope was reduced from a large fintech platform to two polished features: Portfolio X-Ray and AI Risk Explanation.</w:t>
      </w:r>
    </w:p>
    <w:p>
      <w:pPr>
        <w:numPr>
          <w:ilvl w:val="0"/>
          <w:numId w:val="51"/>
        </w:numPr>
        <w:spacing w:after="80" w:line="300" w:lineRule="auto"/>
      </w:pPr>
      <w:r>
        <w:t>Postgres was removed because v1 has no authentication, user history, or write path. A database would add operational work without product value.</w:t>
      </w:r>
    </w:p>
    <w:p>
      <w:pPr>
        <w:numPr>
          <w:ilvl w:val="0"/>
          <w:numId w:val="51"/>
        </w:numPr>
        <w:spacing w:after="80" w:line="300" w:lineRule="auto"/>
      </w:pPr>
      <w:r>
        <w:t>Synthetic data was chosen for license clarity and reproducibility. Real formulas remain the artifact.</w:t>
      </w:r>
    </w:p>
    <w:p>
      <w:pPr>
        <w:numPr>
          <w:ilvl w:val="0"/>
          <w:numId w:val="51"/>
        </w:numPr>
        <w:spacing w:after="80" w:line="300" w:lineRule="auto"/>
      </w:pPr>
      <w:r>
        <w:t>The differentiator became measurable reliability, not a generic finance chatbot.</w:t>
      </w:r>
    </w:p>
    <w:p>
      <w:pPr>
        <w:pStyle w:val="Callout"/>
        <w:ind w:left="173" w:right="115"/>
        <w:shd w:fill="F4F6F9"/>
        <w:pBdr>
          <w:left w:val="single" w:sz="16" w:space="6" w:color="2E74B5"/>
        </w:pBdr>
      </w:pPr>
      <w:r>
        <w:rPr>
          <w:rFonts w:ascii="Calibri" w:hAnsi="Calibri"/>
          <w:b/>
          <w:color w:val="2E74B5"/>
        </w:rPr>
        <w:t xml:space="preserve">Interview framing: </w:t>
      </w:r>
      <w:r>
        <w:t>Say the project demonstrates a reliability architecture using finance as the domain. Do not pitch it as a production investment platform.</w:t>
      </w:r>
    </w:p>
    <w:p>
      <w:pPr>
        <w:pStyle w:val="Heading2"/>
      </w:pPr>
      <w:r>
        <w:t>Planned versus implemented</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500"/>
        <w:gridCol w:w="3850"/>
        <w:gridCol w:w="4010"/>
      </w:tblGrid>
      <w:tr>
        <w:trPr>
          <w:tblHeader w:val="true"/>
        </w:trPr>
        <w:tc>
          <w:tcPr>
            <w:tcW w:type="dxa" w:w="1500"/>
            <w:shd w:fill="E8EEF5"/>
            <w:vAlign w:val="center"/>
            <w:tcMar>
              <w:top w:w="80" w:type="dxa"/>
              <w:bottom w:w="80" w:type="dxa"/>
              <w:start w:w="120" w:type="dxa"/>
              <w:end w:w="120" w:type="dxa"/>
            </w:tcMar>
          </w:tcPr>
          <w:p>
            <w:pPr>
              <w:pStyle w:val="TableHeader"/>
            </w:pPr>
            <w:r>
              <w:t>Area</w:t>
            </w:r>
          </w:p>
        </w:tc>
        <w:tc>
          <w:tcPr>
            <w:tcW w:type="dxa" w:w="3850"/>
            <w:shd w:fill="E8EEF5"/>
            <w:vAlign w:val="center"/>
            <w:tcMar>
              <w:top w:w="80" w:type="dxa"/>
              <w:bottom w:w="80" w:type="dxa"/>
              <w:start w:w="120" w:type="dxa"/>
              <w:end w:w="120" w:type="dxa"/>
            </w:tcMar>
          </w:tcPr>
          <w:p>
            <w:pPr>
              <w:pStyle w:val="TableHeader"/>
            </w:pPr>
            <w:r>
              <w:t>Plan originally mentioned</w:t>
            </w:r>
          </w:p>
        </w:tc>
        <w:tc>
          <w:tcPr>
            <w:tcW w:type="dxa" w:w="4010"/>
            <w:shd w:fill="E8EEF5"/>
            <w:vAlign w:val="center"/>
            <w:tcMar>
              <w:top w:w="80" w:type="dxa"/>
              <w:bottom w:w="80" w:type="dxa"/>
              <w:start w:w="120" w:type="dxa"/>
              <w:end w:w="120" w:type="dxa"/>
            </w:tcMar>
          </w:tcPr>
          <w:p>
            <w:pPr>
              <w:pStyle w:val="TableHeader"/>
            </w:pPr>
            <w:r>
              <w:t>Current repository</w:t>
            </w:r>
          </w:p>
        </w:tc>
      </w:tr>
      <w:tr>
        <w:tc>
          <w:tcPr>
            <w:tcW w:type="dxa" w:w="1500"/>
            <w:vAlign w:val="center"/>
            <w:tcMar>
              <w:top w:w="80" w:type="dxa"/>
              <w:bottom w:w="80" w:type="dxa"/>
              <w:start w:w="120" w:type="dxa"/>
              <w:end w:w="120" w:type="dxa"/>
            </w:tcMar>
          </w:tcPr>
          <w:p>
            <w:pPr>
              <w:pStyle w:val="TableText"/>
            </w:pPr>
            <w:r>
              <w:t>UI</w:t>
            </w:r>
          </w:p>
        </w:tc>
        <w:tc>
          <w:tcPr>
            <w:tcW w:type="dxa" w:w="3850"/>
            <w:vAlign w:val="center"/>
            <w:tcMar>
              <w:top w:w="80" w:type="dxa"/>
              <w:bottom w:w="80" w:type="dxa"/>
              <w:start w:w="120" w:type="dxa"/>
              <w:end w:w="120" w:type="dxa"/>
            </w:tcMar>
          </w:tcPr>
          <w:p>
            <w:pPr>
              <w:pStyle w:val="TableText"/>
            </w:pPr>
            <w:r>
              <w:t>Tailwind, shadcn/ui, Recharts radial gauge</w:t>
            </w:r>
          </w:p>
        </w:tc>
        <w:tc>
          <w:tcPr>
            <w:tcW w:type="dxa" w:w="4010"/>
            <w:vAlign w:val="center"/>
            <w:tcMar>
              <w:top w:w="80" w:type="dxa"/>
              <w:bottom w:w="80" w:type="dxa"/>
              <w:start w:w="120" w:type="dxa"/>
              <w:end w:w="120" w:type="dxa"/>
            </w:tcMar>
          </w:tcPr>
          <w:p>
            <w:pPr>
              <w:pStyle w:val="TableText"/>
            </w:pPr>
            <w:r>
              <w:t>React server-rendered page, CSS tokens, inline layout; no chart library yet.</w:t>
            </w:r>
          </w:p>
        </w:tc>
      </w:tr>
      <w:tr>
        <w:tc>
          <w:tcPr>
            <w:tcW w:type="dxa" w:w="1500"/>
            <w:vAlign w:val="center"/>
            <w:tcMar>
              <w:top w:w="80" w:type="dxa"/>
              <w:bottom w:w="80" w:type="dxa"/>
              <w:start w:w="120" w:type="dxa"/>
              <w:end w:w="120" w:type="dxa"/>
            </w:tcMar>
          </w:tcPr>
          <w:p>
            <w:pPr>
              <w:pStyle w:val="TableText"/>
            </w:pPr>
            <w:r>
              <w:t>Data</w:t>
            </w:r>
          </w:p>
        </w:tc>
        <w:tc>
          <w:tcPr>
            <w:tcW w:type="dxa" w:w="3850"/>
            <w:vAlign w:val="center"/>
            <w:tcMar>
              <w:top w:w="80" w:type="dxa"/>
              <w:bottom w:w="80" w:type="dxa"/>
              <w:start w:w="120" w:type="dxa"/>
              <w:end w:w="120" w:type="dxa"/>
            </w:tcMar>
          </w:tcPr>
          <w:p>
            <w:pPr>
              <w:pStyle w:val="TableText"/>
            </w:pPr>
            <w:r>
              <w:t>Real sourced market data</w:t>
            </w:r>
          </w:p>
        </w:tc>
        <w:tc>
          <w:tcPr>
            <w:tcW w:type="dxa" w:w="4010"/>
            <w:vAlign w:val="center"/>
            <w:tcMar>
              <w:top w:w="80" w:type="dxa"/>
              <w:bottom w:w="80" w:type="dxa"/>
              <w:start w:w="120" w:type="dxa"/>
              <w:end w:w="120" w:type="dxa"/>
            </w:tcMar>
          </w:tcPr>
          <w:p>
            <w:pPr>
              <w:pStyle w:val="TableText"/>
            </w:pPr>
            <w:r>
              <w:t>Seeded synthetic GBM data committed as CSV.</w:t>
            </w:r>
          </w:p>
        </w:tc>
      </w:tr>
      <w:tr>
        <w:tc>
          <w:tcPr>
            <w:tcW w:type="dxa" w:w="1500"/>
            <w:vAlign w:val="center"/>
            <w:tcMar>
              <w:top w:w="80" w:type="dxa"/>
              <w:bottom w:w="80" w:type="dxa"/>
              <w:start w:w="120" w:type="dxa"/>
              <w:end w:w="120" w:type="dxa"/>
            </w:tcMar>
          </w:tcPr>
          <w:p>
            <w:pPr>
              <w:pStyle w:val="TableText"/>
            </w:pPr>
            <w:r>
              <w:t>Storage</w:t>
            </w:r>
          </w:p>
        </w:tc>
        <w:tc>
          <w:tcPr>
            <w:tcW w:type="dxa" w:w="3850"/>
            <w:vAlign w:val="center"/>
            <w:tcMar>
              <w:top w:w="80" w:type="dxa"/>
              <w:bottom w:w="80" w:type="dxa"/>
              <w:start w:w="120" w:type="dxa"/>
              <w:end w:w="120" w:type="dxa"/>
            </w:tcMar>
          </w:tcPr>
          <w:p>
            <w:pPr>
              <w:pStyle w:val="TableText"/>
            </w:pPr>
            <w:r>
              <w:t>Postgres + pgvector</w:t>
            </w:r>
          </w:p>
        </w:tc>
        <w:tc>
          <w:tcPr>
            <w:tcW w:type="dxa" w:w="4010"/>
            <w:vAlign w:val="center"/>
            <w:tcMar>
              <w:top w:w="80" w:type="dxa"/>
              <w:bottom w:w="80" w:type="dxa"/>
              <w:start w:w="120" w:type="dxa"/>
              <w:end w:w="120" w:type="dxa"/>
            </w:tcMar>
          </w:tcPr>
          <w:p>
            <w:pPr>
              <w:pStyle w:val="TableText"/>
            </w:pPr>
            <w:r>
              <w:t>No database; committed fixture handles demo availability.</w:t>
            </w:r>
          </w:p>
        </w:tc>
      </w:tr>
      <w:tr>
        <w:tc>
          <w:tcPr>
            <w:tcW w:type="dxa" w:w="1500"/>
            <w:vAlign w:val="center"/>
            <w:tcMar>
              <w:top w:w="80" w:type="dxa"/>
              <w:bottom w:w="80" w:type="dxa"/>
              <w:start w:w="120" w:type="dxa"/>
              <w:end w:w="120" w:type="dxa"/>
            </w:tcMar>
          </w:tcPr>
          <w:p>
            <w:pPr>
              <w:pStyle w:val="TableText"/>
            </w:pPr>
            <w:r>
              <w:t>AI</w:t>
            </w:r>
          </w:p>
        </w:tc>
        <w:tc>
          <w:tcPr>
            <w:tcW w:type="dxa" w:w="3850"/>
            <w:vAlign w:val="center"/>
            <w:tcMar>
              <w:top w:w="80" w:type="dxa"/>
              <w:bottom w:w="80" w:type="dxa"/>
              <w:start w:w="120" w:type="dxa"/>
              <w:end w:w="120" w:type="dxa"/>
            </w:tcMar>
          </w:tcPr>
          <w:p>
            <w:pPr>
              <w:pStyle w:val="TableText"/>
            </w:pPr>
            <w:r>
              <w:t>Structured outputs, function calling, embeddings, RAG</w:t>
            </w:r>
          </w:p>
        </w:tc>
        <w:tc>
          <w:tcPr>
            <w:tcW w:type="dxa" w:w="4010"/>
            <w:vAlign w:val="center"/>
            <w:tcMar>
              <w:top w:w="80" w:type="dxa"/>
              <w:bottom w:w="80" w:type="dxa"/>
              <w:start w:w="120" w:type="dxa"/>
              <w:end w:w="120" w:type="dxa"/>
            </w:tcMar>
          </w:tcPr>
          <w:p>
            <w:pPr>
              <w:pStyle w:val="TableText"/>
            </w:pPr>
            <w:r>
              <w:t>Structured output explanation only; no tools, embeddings, or RAG.</w:t>
            </w:r>
          </w:p>
        </w:tc>
      </w:tr>
      <w:tr>
        <w:tc>
          <w:tcPr>
            <w:tcW w:type="dxa" w:w="1500"/>
            <w:vAlign w:val="center"/>
            <w:tcMar>
              <w:top w:w="80" w:type="dxa"/>
              <w:bottom w:w="80" w:type="dxa"/>
              <w:start w:w="120" w:type="dxa"/>
              <w:end w:w="120" w:type="dxa"/>
            </w:tcMar>
          </w:tcPr>
          <w:p>
            <w:pPr>
              <w:pStyle w:val="TableText"/>
            </w:pPr>
            <w:r>
              <w:t>Product</w:t>
            </w:r>
          </w:p>
        </w:tc>
        <w:tc>
          <w:tcPr>
            <w:tcW w:type="dxa" w:w="3850"/>
            <w:vAlign w:val="center"/>
            <w:tcMar>
              <w:top w:w="80" w:type="dxa"/>
              <w:bottom w:w="80" w:type="dxa"/>
              <w:start w:w="120" w:type="dxa"/>
              <w:end w:w="120" w:type="dxa"/>
            </w:tcMar>
          </w:tcPr>
          <w:p>
            <w:pPr>
              <w:pStyle w:val="TableText"/>
            </w:pPr>
            <w:r>
              <w:t>Accounts, uploads, history, journal, simulator</w:t>
            </w:r>
          </w:p>
        </w:tc>
        <w:tc>
          <w:tcPr>
            <w:tcW w:type="dxa" w:w="4010"/>
            <w:vAlign w:val="center"/>
            <w:tcMar>
              <w:top w:w="80" w:type="dxa"/>
              <w:bottom w:w="80" w:type="dxa"/>
              <w:start w:w="120" w:type="dxa"/>
              <w:end w:w="120" w:type="dxa"/>
            </w:tcMar>
          </w:tcPr>
          <w:p>
            <w:pPr>
              <w:pStyle w:val="TableText"/>
            </w:pPr>
            <w:r>
              <w:t>Single read-only sample portfolio.</w:t>
            </w:r>
          </w:p>
        </w:tc>
      </w:tr>
      <w:tr>
        <w:tc>
          <w:tcPr>
            <w:tcW w:type="dxa" w:w="1500"/>
            <w:vAlign w:val="center"/>
            <w:tcMar>
              <w:top w:w="80" w:type="dxa"/>
              <w:bottom w:w="80" w:type="dxa"/>
              <w:start w:w="120" w:type="dxa"/>
              <w:end w:w="120" w:type="dxa"/>
            </w:tcMar>
          </w:tcPr>
          <w:p>
            <w:pPr>
              <w:pStyle w:val="TableText"/>
            </w:pPr>
            <w:r>
              <w:t>Reliability</w:t>
            </w:r>
          </w:p>
        </w:tc>
        <w:tc>
          <w:tcPr>
            <w:tcW w:type="dxa" w:w="3850"/>
            <w:vAlign w:val="center"/>
            <w:tcMar>
              <w:top w:w="80" w:type="dxa"/>
              <w:bottom w:w="80" w:type="dxa"/>
              <w:start w:w="120" w:type="dxa"/>
              <w:end w:w="120" w:type="dxa"/>
            </w:tcMar>
          </w:tcPr>
          <w:p>
            <w:pPr>
              <w:pStyle w:val="TableText"/>
            </w:pPr>
            <w:r>
              <w:t>Live repeated-model eval</w:t>
            </w:r>
          </w:p>
        </w:tc>
        <w:tc>
          <w:tcPr>
            <w:tcW w:type="dxa" w:w="4010"/>
            <w:vAlign w:val="center"/>
            <w:tcMar>
              <w:top w:w="80" w:type="dxa"/>
              <w:bottom w:w="80" w:type="dxa"/>
              <w:start w:w="120" w:type="dxa"/>
              <w:end w:w="120" w:type="dxa"/>
            </w:tcMar>
          </w:tcPr>
          <w:p>
            <w:pPr>
              <w:pStyle w:val="TableText"/>
            </w:pPr>
            <w:r>
              <w:t>Fixture guardrail eval plus stubbed pipeline tests; live statistical eval remains.</w:t>
            </w:r>
          </w:p>
        </w:tc>
      </w:tr>
    </w:tbl>
    <w:p>
      <w:pPr>
        <w:spacing w:after="40"/>
      </w:pPr>
    </w:p>
    <w:p>
      <w:r>
        <w:br w:type="page"/>
      </w:r>
    </w:p>
    <w:p>
      <w:pPr>
        <w:pStyle w:val="Heading1"/>
      </w:pPr>
      <w:r>
        <w:t>2. End-to-end architecture</w:t>
      </w:r>
    </w:p>
    <w:p>
      <w:pPr>
        <w:pStyle w:val="Lead"/>
      </w:pPr>
      <w:r>
        <w:t>The browser sees one public Next.js origin. Next.js performs the server-side backend call. The Python service owns math, model access, and guardrails.</w:t>
      </w:r>
    </w:p>
    <w:p>
      <w:pPr>
        <w:pStyle w:val="CodeBlock"/>
        <w:ind w:left="259" w:right="173"/>
        <w:shd w:fill="F2F4F7"/>
      </w:pPr>
      <w:r>
        <w:t>Browser → Next.js Server Component → fetchSampleReport()</w:t>
        <w:br/>
        <w:t xml:space="preserve">        → FastAPI GET /report/sample + x-internal-secret</w:t>
        <w:br/>
        <w:t xml:space="preserve">        → compute_sample_report() → RiskFacts</w:t>
        <w:br/>
        <w:t xml:space="preserve">        → explain() → model or template → numeric guardrail</w:t>
        <w:br/>
        <w:t xml:space="preserve">        → RiskReport → server-rendered HTML</w:t>
        <w:br/>
        <w:t xml:space="preserve">        ↘ on backend failure: committed demo-report.json</w:t>
      </w:r>
    </w:p>
    <w:p>
      <w:pPr>
        <w:pStyle w:val="Heading2"/>
      </w:pPr>
      <w:r>
        <w:t>Normal request path</w:t>
      </w:r>
    </w:p>
    <w:p>
      <w:pPr>
        <w:numPr>
          <w:ilvl w:val="0"/>
          <w:numId w:val="52"/>
        </w:numPr>
        <w:spacing w:after="80" w:line="300" w:lineRule="auto"/>
      </w:pPr>
      <w:r>
        <w:t>Browser requests the Next.js home page. page.tsx is a Server Component, so the backend URL and shared secret remain on the server.</w:t>
      </w:r>
    </w:p>
    <w:p>
      <w:pPr>
        <w:numPr>
          <w:ilvl w:val="0"/>
          <w:numId w:val="52"/>
        </w:numPr>
        <w:spacing w:after="80" w:line="300" w:lineRule="auto"/>
      </w:pPr>
      <w:r>
        <w:t>fetchSampleReport sends GET /report/sample to FastAPI with x-internal-secret. It uses no-store caching and a 2.5-second timeout.</w:t>
      </w:r>
    </w:p>
    <w:p>
      <w:pPr>
        <w:numPr>
          <w:ilvl w:val="0"/>
          <w:numId w:val="52"/>
        </w:numPr>
        <w:spacing w:after="80" w:line="300" w:lineRule="auto"/>
      </w:pPr>
      <w:r>
        <w:t>FastAPI validates the secret dependency, loads environment configuration, and calls build_sample_report.</w:t>
      </w:r>
    </w:p>
    <w:p>
      <w:pPr>
        <w:numPr>
          <w:ilvl w:val="0"/>
          <w:numId w:val="52"/>
        </w:numPr>
        <w:spacing w:after="80" w:line="300" w:lineRule="auto"/>
      </w:pPr>
      <w:r>
        <w:t>The risk engine reads prices, computes holdings and RiskFacts, then returns one authoritative fact object.</w:t>
      </w:r>
    </w:p>
    <w:p>
      <w:pPr>
        <w:numPr>
          <w:ilvl w:val="0"/>
          <w:numId w:val="52"/>
        </w:numPr>
        <w:spacing w:after="80" w:line="300" w:lineRule="auto"/>
      </w:pPr>
      <w:r>
        <w:t>explain chooses deterministic demo text or the live model. Live prose is scanned for numeric tokens before delivery.</w:t>
      </w:r>
    </w:p>
    <w:p>
      <w:pPr>
        <w:numPr>
          <w:ilvl w:val="0"/>
          <w:numId w:val="52"/>
        </w:numPr>
        <w:spacing w:after="80" w:line="300" w:lineRule="auto"/>
      </w:pPr>
      <w:r>
        <w:t>RiskReport joins holdings, facts, explanation, source label, freshness text, and disclaimer. Next.js renders the result.</w:t>
      </w:r>
    </w:p>
    <w:p>
      <w:pPr>
        <w:pStyle w:val="Heading2"/>
      </w:pPr>
      <w:r>
        <w:t>Failure path</w:t>
      </w:r>
    </w:p>
    <w:p>
      <w:pPr>
        <w:numPr>
          <w:ilvl w:val="0"/>
          <w:numId w:val="51"/>
        </w:numPr>
        <w:spacing w:after="80" w:line="300" w:lineRule="auto"/>
      </w:pPr>
      <w:r>
        <w:t>No API key or DEMO_MODE enabled: skip model completely; build a template from facts; mark source demo_fixture.</w:t>
      </w:r>
    </w:p>
    <w:p>
      <w:pPr>
        <w:numPr>
          <w:ilvl w:val="0"/>
          <w:numId w:val="51"/>
        </w:numPr>
        <w:spacing w:after="80" w:line="300" w:lineRule="auto"/>
      </w:pPr>
      <w:r>
        <w:t>OpenAI timeout, refusal, malformed result, or transport error: return template_fallback.</w:t>
      </w:r>
    </w:p>
    <w:p>
      <w:pPr>
        <w:numPr>
          <w:ilvl w:val="0"/>
          <w:numId w:val="51"/>
        </w:numPr>
        <w:spacing w:after="80" w:line="300" w:lineRule="auto"/>
      </w:pPr>
      <w:r>
        <w:t>First model answer has an ungrounded number: regenerate once with corrective context.</w:t>
      </w:r>
    </w:p>
    <w:p>
      <w:pPr>
        <w:numPr>
          <w:ilvl w:val="0"/>
          <w:numId w:val="51"/>
        </w:numPr>
        <w:spacing w:after="80" w:line="300" w:lineRule="auto"/>
      </w:pPr>
      <w:r>
        <w:t>Second answer still fails: deterministic template_fallback. No infinite loop.</w:t>
      </w:r>
    </w:p>
    <w:p>
      <w:pPr>
        <w:numPr>
          <w:ilvl w:val="0"/>
          <w:numId w:val="51"/>
        </w:numPr>
        <w:spacing w:after="80" w:line="300" w:lineRule="auto"/>
      </w:pPr>
      <w:r>
        <w:t>Python backend unreachable or slow: Next.js returns committed demo-report.json after at most 2.5 seconds.</w:t>
      </w:r>
    </w:p>
    <w:p>
      <w:pPr>
        <w:pStyle w:val="Callout"/>
        <w:ind w:left="173" w:right="115"/>
        <w:shd w:fill="F4F6F9"/>
        <w:pBdr>
          <w:left w:val="single" w:sz="16" w:space="6" w:color="2E74B5"/>
        </w:pBdr>
      </w:pPr>
      <w:r>
        <w:rPr>
          <w:rFonts w:ascii="Calibri" w:hAnsi="Calibri"/>
          <w:b/>
          <w:color w:val="2E74B5"/>
        </w:rPr>
        <w:t xml:space="preserve">Important nuance: </w:t>
      </w:r>
      <w:r>
        <w:t>The home page calls the server-only backend client directly. The /api/report Route Handler exists as a same-origin JSON surface, but the home page does not fetch that route from the browser.</w:t>
      </w:r>
    </w:p>
    <w:p>
      <w:pPr>
        <w:pStyle w:val="Heading2"/>
      </w:pPr>
      <w:r>
        <w:t>Trust boundaries</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840"/>
        <w:gridCol w:w="3450"/>
        <w:gridCol w:w="4070"/>
      </w:tblGrid>
      <w:tr>
        <w:trPr>
          <w:tblHeader w:val="true"/>
        </w:trPr>
        <w:tc>
          <w:tcPr>
            <w:tcW w:type="dxa" w:w="1840"/>
            <w:shd w:fill="E8EEF5"/>
            <w:vAlign w:val="center"/>
            <w:tcMar>
              <w:top w:w="80" w:type="dxa"/>
              <w:bottom w:w="80" w:type="dxa"/>
              <w:start w:w="120" w:type="dxa"/>
              <w:end w:w="120" w:type="dxa"/>
            </w:tcMar>
          </w:tcPr>
          <w:p>
            <w:pPr>
              <w:pStyle w:val="TableHeader"/>
            </w:pPr>
            <w:r>
              <w:t>Boundary</w:t>
            </w:r>
          </w:p>
        </w:tc>
        <w:tc>
          <w:tcPr>
            <w:tcW w:type="dxa" w:w="3450"/>
            <w:shd w:fill="E8EEF5"/>
            <w:vAlign w:val="center"/>
            <w:tcMar>
              <w:top w:w="80" w:type="dxa"/>
              <w:bottom w:w="80" w:type="dxa"/>
              <w:start w:w="120" w:type="dxa"/>
              <w:end w:w="120" w:type="dxa"/>
            </w:tcMar>
          </w:tcPr>
          <w:p>
            <w:pPr>
              <w:pStyle w:val="TableHeader"/>
            </w:pPr>
            <w:r>
              <w:t>Control</w:t>
            </w:r>
          </w:p>
        </w:tc>
        <w:tc>
          <w:tcPr>
            <w:tcW w:type="dxa" w:w="4070"/>
            <w:shd w:fill="E8EEF5"/>
            <w:vAlign w:val="center"/>
            <w:tcMar>
              <w:top w:w="80" w:type="dxa"/>
              <w:bottom w:w="80" w:type="dxa"/>
              <w:start w:w="120" w:type="dxa"/>
              <w:end w:w="120" w:type="dxa"/>
            </w:tcMar>
          </w:tcPr>
          <w:p>
            <w:pPr>
              <w:pStyle w:val="TableHeader"/>
            </w:pPr>
            <w:r>
              <w:t>What it does not prove</w:t>
            </w:r>
          </w:p>
        </w:tc>
      </w:tr>
      <w:tr>
        <w:tc>
          <w:tcPr>
            <w:tcW w:type="dxa" w:w="1840"/>
            <w:vAlign w:val="center"/>
            <w:tcMar>
              <w:top w:w="80" w:type="dxa"/>
              <w:bottom w:w="80" w:type="dxa"/>
              <w:start w:w="120" w:type="dxa"/>
              <w:end w:w="120" w:type="dxa"/>
            </w:tcMar>
          </w:tcPr>
          <w:p>
            <w:pPr>
              <w:pStyle w:val="TableText"/>
            </w:pPr>
            <w:r>
              <w:t>Browser → Next</w:t>
            </w:r>
          </w:p>
        </w:tc>
        <w:tc>
          <w:tcPr>
            <w:tcW w:type="dxa" w:w="3450"/>
            <w:vAlign w:val="center"/>
            <w:tcMar>
              <w:top w:w="80" w:type="dxa"/>
              <w:bottom w:w="80" w:type="dxa"/>
              <w:start w:w="120" w:type="dxa"/>
              <w:end w:w="120" w:type="dxa"/>
            </w:tcMar>
          </w:tcPr>
          <w:p>
            <w:pPr>
              <w:pStyle w:val="TableText"/>
            </w:pPr>
            <w:r>
              <w:t>Same-origin public page; no backend secret in client bundle</w:t>
            </w:r>
          </w:p>
        </w:tc>
        <w:tc>
          <w:tcPr>
            <w:tcW w:type="dxa" w:w="4070"/>
            <w:vAlign w:val="center"/>
            <w:tcMar>
              <w:top w:w="80" w:type="dxa"/>
              <w:bottom w:w="80" w:type="dxa"/>
              <w:start w:w="120" w:type="dxa"/>
              <w:end w:w="120" w:type="dxa"/>
            </w:tcMar>
          </w:tcPr>
          <w:p>
            <w:pPr>
              <w:pStyle w:val="TableText"/>
            </w:pPr>
            <w:r>
              <w:t>Does not authenticate end users; v1 has none.</w:t>
            </w:r>
          </w:p>
        </w:tc>
      </w:tr>
      <w:tr>
        <w:tc>
          <w:tcPr>
            <w:tcW w:type="dxa" w:w="1840"/>
            <w:vAlign w:val="center"/>
            <w:tcMar>
              <w:top w:w="80" w:type="dxa"/>
              <w:bottom w:w="80" w:type="dxa"/>
              <w:start w:w="120" w:type="dxa"/>
              <w:end w:w="120" w:type="dxa"/>
            </w:tcMar>
          </w:tcPr>
          <w:p>
            <w:pPr>
              <w:pStyle w:val="TableText"/>
            </w:pPr>
            <w:r>
              <w:t>Next → FastAPI</w:t>
            </w:r>
          </w:p>
        </w:tc>
        <w:tc>
          <w:tcPr>
            <w:tcW w:type="dxa" w:w="3450"/>
            <w:vAlign w:val="center"/>
            <w:tcMar>
              <w:top w:w="80" w:type="dxa"/>
              <w:bottom w:w="80" w:type="dxa"/>
              <w:start w:w="120" w:type="dxa"/>
              <w:end w:w="120" w:type="dxa"/>
            </w:tcMar>
          </w:tcPr>
          <w:p>
            <w:pPr>
              <w:pStyle w:val="TableText"/>
            </w:pPr>
            <w:r>
              <w:t>Private URL plus shared-secret header</w:t>
            </w:r>
          </w:p>
        </w:tc>
        <w:tc>
          <w:tcPr>
            <w:tcW w:type="dxa" w:w="4070"/>
            <w:vAlign w:val="center"/>
            <w:tcMar>
              <w:top w:w="80" w:type="dxa"/>
              <w:bottom w:w="80" w:type="dxa"/>
              <w:start w:w="120" w:type="dxa"/>
              <w:end w:w="120" w:type="dxa"/>
            </w:tcMar>
          </w:tcPr>
          <w:p>
            <w:pPr>
              <w:pStyle w:val="TableText"/>
            </w:pPr>
            <w:r>
              <w:t>A default secret is not production security; rotation and network ACLs still matter.</w:t>
            </w:r>
          </w:p>
        </w:tc>
      </w:tr>
      <w:tr>
        <w:tc>
          <w:tcPr>
            <w:tcW w:type="dxa" w:w="1840"/>
            <w:vAlign w:val="center"/>
            <w:tcMar>
              <w:top w:w="80" w:type="dxa"/>
              <w:bottom w:w="80" w:type="dxa"/>
              <w:start w:w="120" w:type="dxa"/>
              <w:end w:w="120" w:type="dxa"/>
            </w:tcMar>
          </w:tcPr>
          <w:p>
            <w:pPr>
              <w:pStyle w:val="TableText"/>
            </w:pPr>
            <w:r>
              <w:t>Math → LLM</w:t>
            </w:r>
          </w:p>
        </w:tc>
        <w:tc>
          <w:tcPr>
            <w:tcW w:type="dxa" w:w="3450"/>
            <w:vAlign w:val="center"/>
            <w:tcMar>
              <w:top w:w="80" w:type="dxa"/>
              <w:bottom w:w="80" w:type="dxa"/>
              <w:start w:w="120" w:type="dxa"/>
              <w:end w:w="120" w:type="dxa"/>
            </w:tcMar>
          </w:tcPr>
          <w:p>
            <w:pPr>
              <w:pStyle w:val="TableText"/>
            </w:pPr>
            <w:r>
              <w:t>Pydantic RiskFacts is the prompt and validation source</w:t>
            </w:r>
          </w:p>
        </w:tc>
        <w:tc>
          <w:tcPr>
            <w:tcW w:type="dxa" w:w="4070"/>
            <w:vAlign w:val="center"/>
            <w:tcMar>
              <w:top w:w="80" w:type="dxa"/>
              <w:bottom w:w="80" w:type="dxa"/>
              <w:start w:w="120" w:type="dxa"/>
              <w:end w:w="120" w:type="dxa"/>
            </w:tcMar>
          </w:tcPr>
          <w:p>
            <w:pPr>
              <w:pStyle w:val="TableText"/>
            </w:pPr>
            <w:r>
              <w:t>The model can still make non-numeric or semantically wrong statements.</w:t>
            </w:r>
          </w:p>
        </w:tc>
      </w:tr>
      <w:tr>
        <w:tc>
          <w:tcPr>
            <w:tcW w:type="dxa" w:w="1840"/>
            <w:vAlign w:val="center"/>
            <w:tcMar>
              <w:top w:w="80" w:type="dxa"/>
              <w:bottom w:w="80" w:type="dxa"/>
              <w:start w:w="120" w:type="dxa"/>
              <w:end w:w="120" w:type="dxa"/>
            </w:tcMar>
          </w:tcPr>
          <w:p>
            <w:pPr>
              <w:pStyle w:val="TableText"/>
            </w:pPr>
            <w:r>
              <w:t>LLM → user</w:t>
            </w:r>
          </w:p>
        </w:tc>
        <w:tc>
          <w:tcPr>
            <w:tcW w:type="dxa" w:w="3450"/>
            <w:vAlign w:val="center"/>
            <w:tcMar>
              <w:top w:w="80" w:type="dxa"/>
              <w:bottom w:w="80" w:type="dxa"/>
              <w:start w:w="120" w:type="dxa"/>
              <w:end w:w="120" w:type="dxa"/>
            </w:tcMar>
          </w:tcPr>
          <w:p>
            <w:pPr>
              <w:pStyle w:val="TableText"/>
            </w:pPr>
            <w:r>
              <w:t>Structured shape, numeric validator, retry, fallback</w:t>
            </w:r>
          </w:p>
        </w:tc>
        <w:tc>
          <w:tcPr>
            <w:tcW w:type="dxa" w:w="4070"/>
            <w:vAlign w:val="center"/>
            <w:tcMar>
              <w:top w:w="80" w:type="dxa"/>
              <w:bottom w:w="80" w:type="dxa"/>
              <w:start w:w="120" w:type="dxa"/>
              <w:end w:w="120" w:type="dxa"/>
            </w:tcMar>
          </w:tcPr>
          <w:p>
            <w:pPr>
              <w:pStyle w:val="TableText"/>
            </w:pPr>
            <w:r>
              <w:t>Validator is lexical numeric grounding, not complete factual verification.</w:t>
            </w:r>
          </w:p>
        </w:tc>
      </w:tr>
    </w:tbl>
    <w:p>
      <w:pPr>
        <w:spacing w:after="40"/>
      </w:pPr>
    </w:p>
    <w:p>
      <w:r>
        <w:br w:type="page"/>
      </w:r>
    </w:p>
    <w:p>
      <w:pPr>
        <w:pStyle w:val="Heading1"/>
      </w:pPr>
      <w:r>
        <w:t>3. Deterministic risk engine</w:t>
      </w:r>
    </w:p>
    <w:p>
      <w:pPr>
        <w:pStyle w:val="Lead"/>
      </w:pPr>
      <w:r>
        <w:t>risk_engine is intentionally isolated from OpenAI. An AST-based test fails if any engine module imports openai or riskpilot.llm.</w:t>
      </w:r>
    </w:p>
    <w:p>
      <w:pPr>
        <w:pStyle w:val="Heading2"/>
      </w:pPr>
      <w:r>
        <w:t>Dataset generation</w:t>
      </w:r>
    </w:p>
    <w:p>
      <w:pPr>
        <w:numPr>
          <w:ilvl w:val="0"/>
          <w:numId w:val="51"/>
        </w:numPr>
        <w:spacing w:after="80" w:line="300" w:lineRule="auto"/>
      </w:pPr>
      <w:r>
        <w:t>Six assets: NVDA, AMD, MSFT, KO, JNJ, and SPY. Five appear in the portfolio; SPY is generated for future beta work.</w:t>
      </w:r>
    </w:p>
    <w:p>
      <w:pPr>
        <w:numPr>
          <w:ilvl w:val="0"/>
          <w:numId w:val="51"/>
        </w:numPr>
        <w:spacing w:after="80" w:line="300" w:lineRule="auto"/>
      </w:pPr>
      <w:r>
        <w:t>Seed 42 produces repeatable output. The CSV contains a starting price plus 504 simulated trading days.</w:t>
      </w:r>
    </w:p>
    <w:p>
      <w:pPr>
        <w:numPr>
          <w:ilvl w:val="0"/>
          <w:numId w:val="51"/>
        </w:numPr>
        <w:spacing w:after="80" w:line="300" w:lineRule="auto"/>
      </w:pPr>
      <w:r>
        <w:t>Correlated geometric Brownian motion uses annual drift, annual volatility, a hand-built correlation matrix, and Cholesky decomposition.</w:t>
      </w:r>
    </w:p>
    <w:p>
      <w:pPr>
        <w:numPr>
          <w:ilvl w:val="0"/>
          <w:numId w:val="51"/>
        </w:numPr>
        <w:spacing w:after="80" w:line="300" w:lineRule="auto"/>
      </w:pPr>
      <w:r>
        <w:t>Tech assets share stronger correlations; staples and healthcare are more independent. This makes diversification behavior visible.</w:t>
      </w:r>
    </w:p>
    <w:p>
      <w:pPr>
        <w:pStyle w:val="CodeBlock"/>
        <w:ind w:left="259" w:right="173"/>
        <w:shd w:fill="F2F4F7"/>
      </w:pPr>
      <w:r>
        <w:t>daily log return = (μ − 0.5σ²)Δt + σ√Δt·z</w:t>
        <w:br/>
        <w:t>correlated shocks = independent normal shocks × Cholesky(correlation matrix)</w:t>
      </w:r>
    </w:p>
    <w:p>
      <w:pPr>
        <w:pStyle w:val="Heading2"/>
      </w:pPr>
      <w:r>
        <w:t>Core formulas</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700"/>
        <w:gridCol w:w="3190"/>
        <w:gridCol w:w="4470"/>
      </w:tblGrid>
      <w:tr>
        <w:trPr>
          <w:tblHeader w:val="true"/>
        </w:trPr>
        <w:tc>
          <w:tcPr>
            <w:tcW w:type="dxa" w:w="1700"/>
            <w:shd w:fill="E8EEF5"/>
            <w:vAlign w:val="center"/>
            <w:tcMar>
              <w:top w:w="80" w:type="dxa"/>
              <w:bottom w:w="80" w:type="dxa"/>
              <w:start w:w="120" w:type="dxa"/>
              <w:end w:w="120" w:type="dxa"/>
            </w:tcMar>
          </w:tcPr>
          <w:p>
            <w:pPr>
              <w:pStyle w:val="TableHeader"/>
            </w:pPr>
            <w:r>
              <w:t>Metric</w:t>
            </w:r>
          </w:p>
        </w:tc>
        <w:tc>
          <w:tcPr>
            <w:tcW w:type="dxa" w:w="3190"/>
            <w:shd w:fill="E8EEF5"/>
            <w:vAlign w:val="center"/>
            <w:tcMar>
              <w:top w:w="80" w:type="dxa"/>
              <w:bottom w:w="80" w:type="dxa"/>
              <w:start w:w="120" w:type="dxa"/>
              <w:end w:w="120" w:type="dxa"/>
            </w:tcMar>
          </w:tcPr>
          <w:p>
            <w:pPr>
              <w:pStyle w:val="TableHeader"/>
            </w:pPr>
            <w:r>
              <w:t>Implementation</w:t>
            </w:r>
          </w:p>
        </w:tc>
        <w:tc>
          <w:tcPr>
            <w:tcW w:type="dxa" w:w="4470"/>
            <w:shd w:fill="E8EEF5"/>
            <w:vAlign w:val="center"/>
            <w:tcMar>
              <w:top w:w="80" w:type="dxa"/>
              <w:bottom w:w="80" w:type="dxa"/>
              <w:start w:w="120" w:type="dxa"/>
              <w:end w:w="120" w:type="dxa"/>
            </w:tcMar>
          </w:tcPr>
          <w:p>
            <w:pPr>
              <w:pStyle w:val="TableHeader"/>
            </w:pPr>
            <w:r>
              <w:t>Why technique matters</w:t>
            </w:r>
          </w:p>
        </w:tc>
      </w:tr>
      <w:tr>
        <w:tc>
          <w:tcPr>
            <w:tcW w:type="dxa" w:w="1700"/>
            <w:vAlign w:val="center"/>
            <w:tcMar>
              <w:top w:w="80" w:type="dxa"/>
              <w:bottom w:w="80" w:type="dxa"/>
              <w:start w:w="120" w:type="dxa"/>
              <w:end w:w="120" w:type="dxa"/>
            </w:tcMar>
          </w:tcPr>
          <w:p>
            <w:pPr>
              <w:pStyle w:val="TableText"/>
            </w:pPr>
            <w:r>
              <w:t>Daily return</w:t>
            </w:r>
          </w:p>
        </w:tc>
        <w:tc>
          <w:tcPr>
            <w:tcW w:type="dxa" w:w="3190"/>
            <w:vAlign w:val="center"/>
            <w:tcMar>
              <w:top w:w="80" w:type="dxa"/>
              <w:bottom w:w="80" w:type="dxa"/>
              <w:start w:w="120" w:type="dxa"/>
              <w:end w:w="120" w:type="dxa"/>
            </w:tcMar>
          </w:tcPr>
          <w:p>
            <w:pPr>
              <w:pStyle w:val="TableText"/>
            </w:pPr>
            <w:r>
              <w:t>P[t] / P[t−1] − 1</w:t>
            </w:r>
          </w:p>
        </w:tc>
        <w:tc>
          <w:tcPr>
            <w:tcW w:type="dxa" w:w="4470"/>
            <w:vAlign w:val="center"/>
            <w:tcMar>
              <w:top w:w="80" w:type="dxa"/>
              <w:bottom w:w="80" w:type="dxa"/>
              <w:start w:w="120" w:type="dxa"/>
              <w:end w:w="120" w:type="dxa"/>
            </w:tcMar>
          </w:tcPr>
          <w:p>
            <w:pPr>
              <w:pStyle w:val="TableText"/>
            </w:pPr>
            <w:r>
              <w:t>Creates aligned return series from prices.</w:t>
            </w:r>
          </w:p>
        </w:tc>
      </w:tr>
      <w:tr>
        <w:tc>
          <w:tcPr>
            <w:tcW w:type="dxa" w:w="1700"/>
            <w:vAlign w:val="center"/>
            <w:tcMar>
              <w:top w:w="80" w:type="dxa"/>
              <w:bottom w:w="80" w:type="dxa"/>
              <w:start w:w="120" w:type="dxa"/>
              <w:end w:w="120" w:type="dxa"/>
            </w:tcMar>
          </w:tcPr>
          <w:p>
            <w:pPr>
              <w:pStyle w:val="TableText"/>
            </w:pPr>
            <w:r>
              <w:t>Annualized asset volatility</w:t>
            </w:r>
          </w:p>
        </w:tc>
        <w:tc>
          <w:tcPr>
            <w:tcW w:type="dxa" w:w="3190"/>
            <w:vAlign w:val="center"/>
            <w:tcMar>
              <w:top w:w="80" w:type="dxa"/>
              <w:bottom w:w="80" w:type="dxa"/>
              <w:start w:w="120" w:type="dxa"/>
              <w:end w:w="120" w:type="dxa"/>
            </w:tcMar>
          </w:tcPr>
          <w:p>
            <w:pPr>
              <w:pStyle w:val="TableText"/>
            </w:pPr>
            <w:r>
              <w:t>sample_std(daily returns, ddof=1) × √252</w:t>
            </w:r>
          </w:p>
        </w:tc>
        <w:tc>
          <w:tcPr>
            <w:tcW w:type="dxa" w:w="4470"/>
            <w:vAlign w:val="center"/>
            <w:tcMar>
              <w:top w:w="80" w:type="dxa"/>
              <w:bottom w:w="80" w:type="dxa"/>
              <w:start w:w="120" w:type="dxa"/>
              <w:end w:w="120" w:type="dxa"/>
            </w:tcMar>
          </w:tcPr>
          <w:p>
            <w:pPr>
              <w:pStyle w:val="TableText"/>
            </w:pPr>
            <w:r>
              <w:t>Sample standard deviation avoids silently using NumPy's population default.</w:t>
            </w:r>
          </w:p>
        </w:tc>
      </w:tr>
      <w:tr>
        <w:tc>
          <w:tcPr>
            <w:tcW w:type="dxa" w:w="1700"/>
            <w:vAlign w:val="center"/>
            <w:tcMar>
              <w:top w:w="80" w:type="dxa"/>
              <w:bottom w:w="80" w:type="dxa"/>
              <w:start w:w="120" w:type="dxa"/>
              <w:end w:w="120" w:type="dxa"/>
            </w:tcMar>
          </w:tcPr>
          <w:p>
            <w:pPr>
              <w:pStyle w:val="TableText"/>
            </w:pPr>
            <w:r>
              <w:t>Portfolio volatility</w:t>
            </w:r>
          </w:p>
        </w:tc>
        <w:tc>
          <w:tcPr>
            <w:tcW w:type="dxa" w:w="3190"/>
            <w:vAlign w:val="center"/>
            <w:tcMar>
              <w:top w:w="80" w:type="dxa"/>
              <w:bottom w:w="80" w:type="dxa"/>
              <w:start w:w="120" w:type="dxa"/>
              <w:end w:w="120" w:type="dxa"/>
            </w:tcMar>
          </w:tcPr>
          <w:p>
            <w:pPr>
              <w:pStyle w:val="TableText"/>
            </w:pPr>
            <w:r>
              <w:t>√(wᵀΣw × 252)</w:t>
            </w:r>
          </w:p>
        </w:tc>
        <w:tc>
          <w:tcPr>
            <w:tcW w:type="dxa" w:w="4470"/>
            <w:vAlign w:val="center"/>
            <w:tcMar>
              <w:top w:w="80" w:type="dxa"/>
              <w:bottom w:w="80" w:type="dxa"/>
              <w:start w:w="120" w:type="dxa"/>
              <w:end w:w="120" w:type="dxa"/>
            </w:tcMar>
          </w:tcPr>
          <w:p>
            <w:pPr>
              <w:pStyle w:val="TableText"/>
            </w:pPr>
            <w:r>
              <w:t>Covariance captures correlation and diversification; weighted average volatility does not.</w:t>
            </w:r>
          </w:p>
        </w:tc>
      </w:tr>
      <w:tr>
        <w:tc>
          <w:tcPr>
            <w:tcW w:type="dxa" w:w="1700"/>
            <w:vAlign w:val="center"/>
            <w:tcMar>
              <w:top w:w="80" w:type="dxa"/>
              <w:bottom w:w="80" w:type="dxa"/>
              <w:start w:w="120" w:type="dxa"/>
              <w:end w:w="120" w:type="dxa"/>
            </w:tcMar>
          </w:tcPr>
          <w:p>
            <w:pPr>
              <w:pStyle w:val="TableText"/>
            </w:pPr>
            <w:r>
              <w:t>Value weight</w:t>
            </w:r>
          </w:p>
        </w:tc>
        <w:tc>
          <w:tcPr>
            <w:tcW w:type="dxa" w:w="3190"/>
            <w:vAlign w:val="center"/>
            <w:tcMar>
              <w:top w:w="80" w:type="dxa"/>
              <w:bottom w:w="80" w:type="dxa"/>
              <w:start w:w="120" w:type="dxa"/>
              <w:end w:w="120" w:type="dxa"/>
            </w:tcMar>
          </w:tcPr>
          <w:p>
            <w:pPr>
              <w:pStyle w:val="TableText"/>
            </w:pPr>
            <w:r>
              <w:t>holding market value / total market value</w:t>
            </w:r>
          </w:p>
        </w:tc>
        <w:tc>
          <w:tcPr>
            <w:tcW w:type="dxa" w:w="4470"/>
            <w:vAlign w:val="center"/>
            <w:tcMar>
              <w:top w:w="80" w:type="dxa"/>
              <w:bottom w:w="80" w:type="dxa"/>
              <w:start w:w="120" w:type="dxa"/>
              <w:end w:w="120" w:type="dxa"/>
            </w:tcMar>
          </w:tcPr>
          <w:p>
            <w:pPr>
              <w:pStyle w:val="TableText"/>
            </w:pPr>
            <w:r>
              <w:t>Risk exposure depends on dollars, not share count.</w:t>
            </w:r>
          </w:p>
        </w:tc>
      </w:tr>
      <w:tr>
        <w:tc>
          <w:tcPr>
            <w:tcW w:type="dxa" w:w="1700"/>
            <w:vAlign w:val="center"/>
            <w:tcMar>
              <w:top w:w="80" w:type="dxa"/>
              <w:bottom w:w="80" w:type="dxa"/>
              <w:start w:w="120" w:type="dxa"/>
              <w:end w:w="120" w:type="dxa"/>
            </w:tcMar>
          </w:tcPr>
          <w:p>
            <w:pPr>
              <w:pStyle w:val="TableText"/>
            </w:pPr>
            <w:r>
              <w:t>Top-three concentration</w:t>
            </w:r>
          </w:p>
        </w:tc>
        <w:tc>
          <w:tcPr>
            <w:tcW w:type="dxa" w:w="3190"/>
            <w:vAlign w:val="center"/>
            <w:tcMar>
              <w:top w:w="80" w:type="dxa"/>
              <w:bottom w:w="80" w:type="dxa"/>
              <w:start w:w="120" w:type="dxa"/>
              <w:end w:w="120" w:type="dxa"/>
            </w:tcMar>
          </w:tcPr>
          <w:p>
            <w:pPr>
              <w:pStyle w:val="TableText"/>
            </w:pPr>
            <w:r>
              <w:t>sum of three largest market values / total</w:t>
            </w:r>
          </w:p>
        </w:tc>
        <w:tc>
          <w:tcPr>
            <w:tcW w:type="dxa" w:w="4470"/>
            <w:vAlign w:val="center"/>
            <w:tcMar>
              <w:top w:w="80" w:type="dxa"/>
              <w:bottom w:w="80" w:type="dxa"/>
              <w:start w:w="120" w:type="dxa"/>
              <w:end w:w="120" w:type="dxa"/>
            </w:tcMar>
          </w:tcPr>
          <w:p>
            <w:pPr>
              <w:pStyle w:val="TableText"/>
            </w:pPr>
            <w:r>
              <w:t>Matches the product's plain-language concentration story.</w:t>
            </w:r>
          </w:p>
        </w:tc>
      </w:tr>
      <w:tr>
        <w:tc>
          <w:tcPr>
            <w:tcW w:type="dxa" w:w="1700"/>
            <w:vAlign w:val="center"/>
            <w:tcMar>
              <w:top w:w="80" w:type="dxa"/>
              <w:bottom w:w="80" w:type="dxa"/>
              <w:start w:w="120" w:type="dxa"/>
              <w:end w:w="120" w:type="dxa"/>
            </w:tcMar>
          </w:tcPr>
          <w:p>
            <w:pPr>
              <w:pStyle w:val="TableText"/>
            </w:pPr>
            <w:r>
              <w:t>HHI</w:t>
            </w:r>
          </w:p>
        </w:tc>
        <w:tc>
          <w:tcPr>
            <w:tcW w:type="dxa" w:w="3190"/>
            <w:vAlign w:val="center"/>
            <w:tcMar>
              <w:top w:w="80" w:type="dxa"/>
              <w:bottom w:w="80" w:type="dxa"/>
              <w:start w:w="120" w:type="dxa"/>
              <w:end w:w="120" w:type="dxa"/>
            </w:tcMar>
          </w:tcPr>
          <w:p>
            <w:pPr>
              <w:pStyle w:val="TableText"/>
            </w:pPr>
            <w:r>
              <w:t>Σwᵢ²; normalized variant handles portfolio size</w:t>
            </w:r>
          </w:p>
        </w:tc>
        <w:tc>
          <w:tcPr>
            <w:tcW w:type="dxa" w:w="4470"/>
            <w:vAlign w:val="center"/>
            <w:tcMar>
              <w:top w:w="80" w:type="dxa"/>
              <w:bottom w:w="80" w:type="dxa"/>
              <w:start w:w="120" w:type="dxa"/>
              <w:end w:w="120" w:type="dxa"/>
            </w:tcMar>
          </w:tcPr>
          <w:p>
            <w:pPr>
              <w:pStyle w:val="TableText"/>
            </w:pPr>
            <w:r>
              <w:t>Implemented and tested, but not used in current score.</w:t>
            </w:r>
          </w:p>
        </w:tc>
      </w:tr>
      <w:tr>
        <w:tc>
          <w:tcPr>
            <w:tcW w:type="dxa" w:w="1700"/>
            <w:vAlign w:val="center"/>
            <w:tcMar>
              <w:top w:w="80" w:type="dxa"/>
              <w:bottom w:w="80" w:type="dxa"/>
              <w:start w:w="120" w:type="dxa"/>
              <w:end w:w="120" w:type="dxa"/>
            </w:tcMar>
          </w:tcPr>
          <w:p>
            <w:pPr>
              <w:pStyle w:val="TableText"/>
            </w:pPr>
            <w:r>
              <w:t>Max drawdown</w:t>
            </w:r>
          </w:p>
        </w:tc>
        <w:tc>
          <w:tcPr>
            <w:tcW w:type="dxa" w:w="3190"/>
            <w:vAlign w:val="center"/>
            <w:tcMar>
              <w:top w:w="80" w:type="dxa"/>
              <w:bottom w:w="80" w:type="dxa"/>
              <w:start w:w="120" w:type="dxa"/>
              <w:end w:w="120" w:type="dxa"/>
            </w:tcMar>
          </w:tcPr>
          <w:p>
            <w:pPr>
              <w:pStyle w:val="TableText"/>
            </w:pPr>
            <w:r>
              <w:t>min((value − running max) / running max)</w:t>
            </w:r>
          </w:p>
        </w:tc>
        <w:tc>
          <w:tcPr>
            <w:tcW w:type="dxa" w:w="4470"/>
            <w:vAlign w:val="center"/>
            <w:tcMar>
              <w:top w:w="80" w:type="dxa"/>
              <w:bottom w:w="80" w:type="dxa"/>
              <w:start w:w="120" w:type="dxa"/>
              <w:end w:w="120" w:type="dxa"/>
            </w:tcMar>
          </w:tcPr>
          <w:p>
            <w:pPr>
              <w:pStyle w:val="TableText"/>
            </w:pPr>
            <w:r>
              <w:t>Measures worst historical peak-to-trough decline on portfolio value.</w:t>
            </w:r>
          </w:p>
        </w:tc>
      </w:tr>
    </w:tbl>
    <w:p>
      <w:pPr>
        <w:spacing w:after="40"/>
      </w:pPr>
    </w:p>
    <w:p>
      <w:pPr>
        <w:pStyle w:val="Heading2"/>
      </w:pPr>
      <w:r>
        <w:t>Risk score</w:t>
      </w:r>
    </w:p>
    <w:p>
      <w:r>
        <w:t>The score is a documented product heuristic, not an industry-standard risk model:</w:t>
      </w:r>
    </w:p>
    <w:p>
      <w:pPr>
        <w:pStyle w:val="CodeBlock"/>
        <w:ind w:left="259" w:right="173"/>
        <w:shd w:fill="F2F4F7"/>
      </w:pPr>
      <w:r>
        <w:t>score = 100 × (0.50 × concentration signal</w:t>
        <w:br/>
        <w:t xml:space="preserve">             + 0.35 × volatility signal</w:t>
        <w:br/>
        <w:t xml:space="preserve">             + 0.15 × drawdown signal)</w:t>
      </w:r>
    </w:p>
    <w:p>
      <w:pPr>
        <w:numPr>
          <w:ilvl w:val="0"/>
          <w:numId w:val="51"/>
        </w:numPr>
        <w:spacing w:after="80" w:line="300" w:lineRule="auto"/>
      </w:pPr>
      <w:r>
        <w:t>Concentration signal = top-three percentage / 100.</w:t>
      </w:r>
    </w:p>
    <w:p>
      <w:pPr>
        <w:numPr>
          <w:ilvl w:val="0"/>
          <w:numId w:val="51"/>
        </w:numPr>
        <w:spacing w:after="80" w:line="300" w:lineRule="auto"/>
      </w:pPr>
      <w:r>
        <w:t>Volatility signal maps 10% annualized volatility to 0 and 50% to 1, clamped outside that range.</w:t>
      </w:r>
    </w:p>
    <w:p>
      <w:pPr>
        <w:numPr>
          <w:ilvl w:val="0"/>
          <w:numId w:val="51"/>
        </w:numPr>
        <w:spacing w:after="80" w:line="300" w:lineRule="auto"/>
      </w:pPr>
      <w:r>
        <w:t>Drawdown signal maps 0% to 0 and -50% or worse to 1.</w:t>
      </w:r>
    </w:p>
    <w:p>
      <w:pPr>
        <w:numPr>
          <w:ilvl w:val="0"/>
          <w:numId w:val="51"/>
        </w:numPr>
        <w:spacing w:after="80" w:line="300" w:lineRule="auto"/>
      </w:pPr>
      <w:r>
        <w:t>Band thresholds: conservative below 33, moderate from 33 to below 66, aggressive at 66 or above.</w:t>
      </w:r>
    </w:p>
    <w:p>
      <w:pPr>
        <w:pStyle w:val="Callout"/>
        <w:ind w:left="173" w:right="115"/>
        <w:shd w:fill="F4F6F9"/>
        <w:pBdr>
          <w:left w:val="single" w:sz="16" w:space="6" w:color="2E74B5"/>
        </w:pBdr>
      </w:pPr>
      <w:r>
        <w:rPr>
          <w:rFonts w:ascii="Calibri" w:hAnsi="Calibri"/>
          <w:b/>
          <w:color w:val="2E74B5"/>
        </w:rPr>
        <w:t xml:space="preserve">Sample score check: </w:t>
      </w:r>
      <w:r>
        <w:t>0.50×0.738 + 0.35×0.4325 + 0.15×1.0 ≈ 0.6704, producing 67.0 after rounding. The -54% drawdown saturates the drawdown signal.</w:t>
      </w:r>
    </w:p>
    <w:p>
      <w:pPr>
        <w:pStyle w:val="Heading2"/>
      </w:pPr>
      <w:r>
        <w:t>Correctness decisions</w:t>
      </w:r>
    </w:p>
    <w:p>
      <w:pPr>
        <w:numPr>
          <w:ilvl w:val="0"/>
          <w:numId w:val="51"/>
        </w:numPr>
        <w:spacing w:after="80" w:line="300" w:lineRule="auto"/>
      </w:pPr>
      <w:r>
        <w:t>At least 30 aligned returns are required for volatility. This is a code threshold, not a claim that 30 days is production-grade history.</w:t>
      </w:r>
    </w:p>
    <w:p>
      <w:pPr>
        <w:numPr>
          <w:ilvl w:val="0"/>
          <w:numId w:val="51"/>
        </w:numPr>
        <w:spacing w:after="80" w:line="300" w:lineRule="auto"/>
      </w:pPr>
      <w:r>
        <w:t>Portfolio volatility inner-joins by shortest array length. That is adequate for the aligned synthetic dataset; real feeds need date-based joins.</w:t>
      </w:r>
    </w:p>
    <w:p>
      <w:pPr>
        <w:numPr>
          <w:ilvl w:val="0"/>
          <w:numId w:val="51"/>
        </w:numPr>
        <w:spacing w:after="80" w:line="300" w:lineRule="auto"/>
      </w:pPr>
      <w:r>
        <w:t>Drawdown uses fixed shares across history, while volatility uses current market-value weights. Explain this as a v1 simplification.</w:t>
      </w:r>
    </w:p>
    <w:p>
      <w:pPr>
        <w:numPr>
          <w:ilvl w:val="0"/>
          <w:numId w:val="51"/>
        </w:numPr>
        <w:spacing w:after="80" w:line="300" w:lineRule="auto"/>
      </w:pPr>
      <w:r>
        <w:t>Score weights and signal anchors are version-pinned and tested for bounds and monotonicity.</w:t>
      </w:r>
    </w:p>
    <w:p>
      <w:r>
        <w:br w:type="page"/>
      </w:r>
    </w:p>
    <w:p>
      <w:pPr>
        <w:pStyle w:val="Heading1"/>
      </w:pPr>
      <w:r>
        <w:t>4. Guardrailed LLM pipeline</w:t>
      </w:r>
    </w:p>
    <w:p>
      <w:pPr>
        <w:pStyle w:val="Lead"/>
      </w:pPr>
      <w:r>
        <w:t>Structured Outputs controls the JSON shape. The custom guardrail controls numeric claims inside free text. Those are different reliability problems.</w:t>
      </w:r>
    </w:p>
    <w:p>
      <w:pPr>
        <w:pStyle w:val="Heading2"/>
      </w:pPr>
      <w:r>
        <w:t>Model contract</w:t>
      </w:r>
    </w:p>
    <w:p>
      <w:pPr>
        <w:numPr>
          <w:ilvl w:val="0"/>
          <w:numId w:val="51"/>
        </w:numPr>
        <w:spacing w:after="80" w:line="300" w:lineRule="auto"/>
      </w:pPr>
      <w:r>
        <w:t>Input: one RiskFacts object containing every allowed portfolio number.</w:t>
      </w:r>
    </w:p>
    <w:p>
      <w:pPr>
        <w:numPr>
          <w:ilvl w:val="0"/>
          <w:numId w:val="51"/>
        </w:numPr>
        <w:spacing w:after="80" w:line="300" w:lineRule="auto"/>
      </w:pPr>
      <w:r>
        <w:t>Output schema: summary, top_risk_factors, and review_checklist. Pydantic parses the result.</w:t>
      </w:r>
    </w:p>
    <w:p>
      <w:pPr>
        <w:numPr>
          <w:ilvl w:val="0"/>
          <w:numId w:val="51"/>
        </w:numPr>
        <w:spacing w:after="80" w:line="300" w:lineRule="auto"/>
      </w:pPr>
      <w:r>
        <w:t>Prompt forbids buy/sell advice and tells the model to use only supplied numbers.</w:t>
      </w:r>
    </w:p>
    <w:p>
      <w:pPr>
        <w:numPr>
          <w:ilvl w:val="0"/>
          <w:numId w:val="51"/>
        </w:numPr>
        <w:spacing w:after="80" w:line="300" w:lineRule="auto"/>
      </w:pPr>
      <w:r>
        <w:t>temperature=0 improves repeatability but does not guarantee factuality.</w:t>
      </w:r>
    </w:p>
    <w:p>
      <w:pPr>
        <w:pStyle w:val="Heading2"/>
      </w:pPr>
      <w:r>
        <w:t>Numeric grounding algorithm</w:t>
      </w:r>
    </w:p>
    <w:p>
      <w:pPr>
        <w:numPr>
          <w:ilvl w:val="0"/>
          <w:numId w:val="52"/>
        </w:numPr>
        <w:spacing w:after="80" w:line="300" w:lineRule="auto"/>
      </w:pPr>
      <w:r>
        <w:t>Collect numeric fact values: score, concentration, volatility, signed and absolute drawdown, largest-sector share, and holdings count.</w:t>
      </w:r>
    </w:p>
    <w:p>
      <w:pPr>
        <w:numPr>
          <w:ilvl w:val="0"/>
          <w:numId w:val="52"/>
        </w:numPr>
        <w:spacing w:after="80" w:line="300" w:lineRule="auto"/>
      </w:pPr>
      <w:r>
        <w:t>Build an allow-set containing raw and rounded 0/1/2-decimal renderings.</w:t>
      </w:r>
    </w:p>
    <w:p>
      <w:pPr>
        <w:numPr>
          <w:ilvl w:val="0"/>
          <w:numId w:val="52"/>
        </w:numPr>
        <w:spacing w:after="80" w:line="300" w:lineRule="auto"/>
      </w:pPr>
      <w:r>
        <w:t>Extract numeric tokens from every prose field with a regular expression, including currency, commas, signs, decimals, and percentages.</w:t>
      </w:r>
    </w:p>
    <w:p>
      <w:pPr>
        <w:numPr>
          <w:ilvl w:val="0"/>
          <w:numId w:val="52"/>
        </w:numPr>
        <w:spacing w:after="80" w:line="300" w:lineRule="auto"/>
      </w:pPr>
      <w:r>
        <w:t>Accept exact allow-set matches, small whole-number counts, the 100-point scale constant, or values within 1% relative epsilon of a fact.</w:t>
      </w:r>
    </w:p>
    <w:p>
      <w:pPr>
        <w:numPr>
          <w:ilvl w:val="0"/>
          <w:numId w:val="52"/>
        </w:numPr>
        <w:spacing w:after="80" w:line="300" w:lineRule="auto"/>
      </w:pPr>
      <w:r>
        <w:t>If any token remains ungrounded, regenerate once. If retry fails validation, use deterministic template prose.</w:t>
      </w:r>
    </w:p>
    <w:p>
      <w:pPr>
        <w:numPr>
          <w:ilvl w:val="0"/>
          <w:numId w:val="52"/>
        </w:numPr>
        <w:spacing w:after="80" w:line="300" w:lineRule="auto"/>
      </w:pPr>
      <w:r>
        <w:t>Stamp source as model, model_regenerated, template_fallback, or demo_fixture so the UI can disclose behavior.</w:t>
      </w:r>
    </w:p>
    <w:p>
      <w:pPr>
        <w:pStyle w:val="CodeBlock"/>
        <w:ind w:left="259" w:right="173"/>
        <w:shd w:fill="F2F4F7"/>
      </w:pPr>
      <w:r>
        <w:t>model draft → scan all prose → clean? deliver as model</w:t>
        <w:br/>
        <w:t xml:space="preserve">                       ↘ bad number → correction + one retry</w:t>
        <w:br/>
        <w:t xml:space="preserve">                                      ↘ still bad/error → template_fallback</w:t>
      </w:r>
    </w:p>
    <w:p>
      <w:pPr>
        <w:pStyle w:val="Heading2"/>
      </w:pPr>
      <w:r>
        <w:t>Why fail closed</w:t>
      </w:r>
    </w:p>
    <w:p>
      <w:r>
        <w:t>Deleting a bad number could leave misleading grammar. Retrying indefinitely could create cost and latency loops. Returning an error would discard useful deterministic facts. Template fallback preserves availability and guarantees numeric grounding by construction.</w:t>
      </w:r>
    </w:p>
    <w:p>
      <w:pPr>
        <w:pStyle w:val="Heading2"/>
      </w:pPr>
      <w:r>
        <w:t>What the guardrail proves—and does not prove</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4560"/>
        <w:gridCol w:w="4800"/>
      </w:tblGrid>
      <w:tr>
        <w:trPr>
          <w:tblHeader w:val="true"/>
        </w:trPr>
        <w:tc>
          <w:tcPr>
            <w:tcW w:type="dxa" w:w="4560"/>
            <w:shd w:fill="E8EEF5"/>
            <w:vAlign w:val="center"/>
            <w:tcMar>
              <w:top w:w="80" w:type="dxa"/>
              <w:bottom w:w="80" w:type="dxa"/>
              <w:start w:w="120" w:type="dxa"/>
              <w:end w:w="120" w:type="dxa"/>
            </w:tcMar>
          </w:tcPr>
          <w:p>
            <w:pPr>
              <w:pStyle w:val="TableHeader"/>
            </w:pPr>
            <w:r>
              <w:t>It proves</w:t>
            </w:r>
          </w:p>
        </w:tc>
        <w:tc>
          <w:tcPr>
            <w:tcW w:type="dxa" w:w="4800"/>
            <w:shd w:fill="E8EEF5"/>
            <w:vAlign w:val="center"/>
            <w:tcMar>
              <w:top w:w="80" w:type="dxa"/>
              <w:bottom w:w="80" w:type="dxa"/>
              <w:start w:w="120" w:type="dxa"/>
              <w:end w:w="120" w:type="dxa"/>
            </w:tcMar>
          </w:tcPr>
          <w:p>
            <w:pPr>
              <w:pStyle w:val="TableHeader"/>
            </w:pPr>
            <w:r>
              <w:t>It does not prove</w:t>
            </w:r>
          </w:p>
        </w:tc>
      </w:tr>
      <w:tr>
        <w:tc>
          <w:tcPr>
            <w:tcW w:type="dxa" w:w="4560"/>
            <w:vAlign w:val="center"/>
            <w:tcMar>
              <w:top w:w="80" w:type="dxa"/>
              <w:bottom w:w="80" w:type="dxa"/>
              <w:start w:w="120" w:type="dxa"/>
              <w:end w:w="120" w:type="dxa"/>
            </w:tcMar>
          </w:tcPr>
          <w:p>
            <w:pPr>
              <w:pStyle w:val="TableText"/>
            </w:pPr>
            <w:r>
              <w:t>Every delivered numeric token matches an allowed number under current rules.</w:t>
            </w:r>
          </w:p>
        </w:tc>
        <w:tc>
          <w:tcPr>
            <w:tcW w:type="dxa" w:w="4800"/>
            <w:vAlign w:val="center"/>
            <w:tcMar>
              <w:top w:w="80" w:type="dxa"/>
              <w:bottom w:w="80" w:type="dxa"/>
              <w:start w:w="120" w:type="dxa"/>
              <w:end w:w="120" w:type="dxa"/>
            </w:tcMar>
          </w:tcPr>
          <w:p>
            <w:pPr>
              <w:pStyle w:val="TableText"/>
            </w:pPr>
            <w:r>
              <w:t>A sentence is semantically true. The model could attach a valid number to the wrong concept.</w:t>
            </w:r>
          </w:p>
        </w:tc>
      </w:tr>
      <w:tr>
        <w:tc>
          <w:tcPr>
            <w:tcW w:type="dxa" w:w="4560"/>
            <w:vAlign w:val="center"/>
            <w:tcMar>
              <w:top w:w="80" w:type="dxa"/>
              <w:bottom w:w="80" w:type="dxa"/>
              <w:start w:w="120" w:type="dxa"/>
              <w:end w:w="120" w:type="dxa"/>
            </w:tcMar>
          </w:tcPr>
          <w:p>
            <w:pPr>
              <w:pStyle w:val="TableText"/>
            </w:pPr>
            <w:r>
              <w:t>Repeated numeric violations cannot loop forever.</w:t>
            </w:r>
          </w:p>
        </w:tc>
        <w:tc>
          <w:tcPr>
            <w:tcW w:type="dxa" w:w="4800"/>
            <w:vAlign w:val="center"/>
            <w:tcMar>
              <w:top w:w="80" w:type="dxa"/>
              <w:bottom w:w="80" w:type="dxa"/>
              <w:start w:w="120" w:type="dxa"/>
              <w:end w:w="120" w:type="dxa"/>
            </w:tcMar>
          </w:tcPr>
          <w:p>
            <w:pPr>
              <w:pStyle w:val="TableText"/>
            </w:pPr>
            <w:r>
              <w:t>The 0–12 and 100 safe-number rules are context-aware; they currently are broad allow-lists.</w:t>
            </w:r>
          </w:p>
        </w:tc>
      </w:tr>
      <w:tr>
        <w:tc>
          <w:tcPr>
            <w:tcW w:type="dxa" w:w="4560"/>
            <w:vAlign w:val="center"/>
            <w:tcMar>
              <w:top w:w="80" w:type="dxa"/>
              <w:bottom w:w="80" w:type="dxa"/>
              <w:start w:w="120" w:type="dxa"/>
              <w:end w:w="120" w:type="dxa"/>
            </w:tcMar>
          </w:tcPr>
          <w:p>
            <w:pPr>
              <w:pStyle w:val="TableText"/>
            </w:pPr>
            <w:r>
              <w:t>Model transport/refusal errors degrade to deterministic text.</w:t>
            </w:r>
          </w:p>
        </w:tc>
        <w:tc>
          <w:tcPr>
            <w:tcW w:type="dxa" w:w="4800"/>
            <w:vAlign w:val="center"/>
            <w:tcMar>
              <w:top w:w="80" w:type="dxa"/>
              <w:bottom w:w="80" w:type="dxa"/>
              <w:start w:w="120" w:type="dxa"/>
              <w:end w:w="120" w:type="dxa"/>
            </w:tcMar>
          </w:tcPr>
          <w:p>
            <w:pPr>
              <w:pStyle w:val="TableText"/>
            </w:pPr>
            <w:r>
              <w:t>Checklist items are always questions or contain no buy/sell language at runtime.</w:t>
            </w:r>
          </w:p>
        </w:tc>
      </w:tr>
      <w:tr>
        <w:tc>
          <w:tcPr>
            <w:tcW w:type="dxa" w:w="4560"/>
            <w:vAlign w:val="center"/>
            <w:tcMar>
              <w:top w:w="80" w:type="dxa"/>
              <w:bottom w:w="80" w:type="dxa"/>
              <w:start w:w="120" w:type="dxa"/>
              <w:end w:w="120" w:type="dxa"/>
            </w:tcMar>
          </w:tcPr>
          <w:p>
            <w:pPr>
              <w:pStyle w:val="TableText"/>
            </w:pPr>
            <w:r>
              <w:t>The engine does not import the LLM layer.</w:t>
            </w:r>
          </w:p>
        </w:tc>
        <w:tc>
          <w:tcPr>
            <w:tcW w:type="dxa" w:w="4800"/>
            <w:vAlign w:val="center"/>
            <w:tcMar>
              <w:top w:w="80" w:type="dxa"/>
              <w:bottom w:w="80" w:type="dxa"/>
              <w:start w:w="120" w:type="dxa"/>
              <w:end w:w="120" w:type="dxa"/>
            </w:tcMar>
          </w:tcPr>
          <w:p>
            <w:pPr>
              <w:pStyle w:val="TableText"/>
            </w:pPr>
            <w:r>
              <w:t>No other code can mutate facts; stronger immutable/domain boundaries could still be added.</w:t>
            </w:r>
          </w:p>
        </w:tc>
      </w:tr>
    </w:tbl>
    <w:p>
      <w:pPr>
        <w:spacing w:after="40"/>
      </w:pPr>
    </w:p>
    <w:p>
      <w:pPr>
        <w:pStyle w:val="Callout"/>
        <w:ind w:left="173" w:right="115"/>
        <w:shd w:fill="F4F6F9"/>
        <w:pBdr>
          <w:left w:val="single" w:sz="16" w:space="6" w:color="2E74B5"/>
        </w:pBdr>
      </w:pPr>
      <w:r>
        <w:rPr>
          <w:rFonts w:ascii="Calibri" w:hAnsi="Calibri"/>
          <w:b/>
          <w:color w:val="2E74B5"/>
        </w:rPr>
        <w:t xml:space="preserve">Best interview answer: </w:t>
      </w:r>
      <w:r>
        <w:t>Call this a numeric-claim validator, not a complete hallucination detector. That precision shows engineering maturity.</w:t>
      </w:r>
    </w:p>
    <w:p>
      <w:r>
        <w:br w:type="page"/>
      </w:r>
    </w:p>
    <w:p>
      <w:pPr>
        <w:pStyle w:val="Heading1"/>
      </w:pPr>
      <w:r>
        <w:t>5. API, frontend, deployment, and fallbacks</w:t>
      </w:r>
    </w:p>
    <w:p>
      <w:pPr>
        <w:pStyle w:val="Heading2"/>
      </w:pPr>
      <w:r>
        <w:t>FastAPI service</w:t>
      </w:r>
    </w:p>
    <w:p>
      <w:pPr>
        <w:numPr>
          <w:ilvl w:val="0"/>
          <w:numId w:val="51"/>
        </w:numPr>
        <w:spacing w:after="80" w:line="300" w:lineRule="auto"/>
      </w:pPr>
      <w:r>
        <w:t>GET /health is unauthenticated and reports status, demo mode, live-LLM availability, and app version.</w:t>
      </w:r>
    </w:p>
    <w:p>
      <w:pPr>
        <w:numPr>
          <w:ilvl w:val="0"/>
          <w:numId w:val="51"/>
        </w:numPr>
        <w:spacing w:after="80" w:line="300" w:lineRule="auto"/>
      </w:pPr>
      <w:r>
        <w:t>GET /report/sample requires x-internal-secret through a FastAPI dependency and returns a validated RiskReport.</w:t>
      </w:r>
    </w:p>
    <w:p>
      <w:pPr>
        <w:numPr>
          <w:ilvl w:val="0"/>
          <w:numId w:val="51"/>
        </w:numPr>
        <w:spacing w:after="80" w:line="300" w:lineRule="auto"/>
      </w:pPr>
      <w:r>
        <w:t>Config defaults safely: missing API key forces demo mode even if DEMO_MODE says otherwise.</w:t>
      </w:r>
    </w:p>
    <w:p>
      <w:pPr>
        <w:numPr>
          <w:ilvl w:val="0"/>
          <w:numId w:val="51"/>
        </w:numPr>
        <w:spacing w:after="80" w:line="300" w:lineRule="auto"/>
      </w:pPr>
      <w:r>
        <w:t>Endpoints and SDK call are synchronous. That is simple for a small demo; production concurrency may need async I/O or a worker boundary.</w:t>
      </w:r>
    </w:p>
    <w:p>
      <w:pPr>
        <w:pStyle w:val="Heading2"/>
      </w:pPr>
      <w:r>
        <w:t>Next.js application</w:t>
      </w:r>
    </w:p>
    <w:p>
      <w:pPr>
        <w:numPr>
          <w:ilvl w:val="0"/>
          <w:numId w:val="51"/>
        </w:numPr>
        <w:spacing w:after="80" w:line="300" w:lineRule="auto"/>
      </w:pPr>
      <w:r>
        <w:t>Next.js 15.5.19 with React 19 and TypeScript 5.7. The home page is a force-dynamic Server Component.</w:t>
      </w:r>
    </w:p>
    <w:p>
      <w:pPr>
        <w:numPr>
          <w:ilvl w:val="0"/>
          <w:numId w:val="51"/>
        </w:numPr>
        <w:spacing w:after="80" w:line="300" w:lineRule="auto"/>
      </w:pPr>
      <w:r>
        <w:t>server-only import prevents accidental client bundling of private backend configuration.</w:t>
      </w:r>
    </w:p>
    <w:p>
      <w:pPr>
        <w:numPr>
          <w:ilvl w:val="0"/>
          <w:numId w:val="51"/>
        </w:numPr>
        <w:spacing w:after="80" w:line="300" w:lineRule="auto"/>
      </w:pPr>
      <w:r>
        <w:t>The dashboard renders risk score first, deterministic receipts second, and grounded explanation third.</w:t>
      </w:r>
    </w:p>
    <w:p>
      <w:pPr>
        <w:numPr>
          <w:ilvl w:val="0"/>
          <w:numId w:val="51"/>
        </w:numPr>
        <w:spacing w:after="80" w:line="300" w:lineRule="auto"/>
      </w:pPr>
      <w:r>
        <w:t>CSS uses OKLCH semantic colors, tabular numerals, focus-visible styling, and reduced-motion support.</w:t>
      </w:r>
    </w:p>
    <w:p>
      <w:pPr>
        <w:numPr>
          <w:ilvl w:val="0"/>
          <w:numId w:val="51"/>
        </w:numPr>
        <w:spacing w:after="80" w:line="300" w:lineRule="auto"/>
      </w:pPr>
      <w:r>
        <w:t>TypeScript interfaces manually mirror Pydantic models. A comment identifies OpenAPI code generation as future work.</w:t>
      </w:r>
    </w:p>
    <w:p>
      <w:pPr>
        <w:pStyle w:val="Heading2"/>
      </w:pPr>
      <w:r>
        <w:t>Availability design</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020"/>
        <w:gridCol w:w="3500"/>
        <w:gridCol w:w="3840"/>
      </w:tblGrid>
      <w:tr>
        <w:trPr>
          <w:tblHeader w:val="true"/>
        </w:trPr>
        <w:tc>
          <w:tcPr>
            <w:tcW w:type="dxa" w:w="2020"/>
            <w:shd w:fill="E8EEF5"/>
            <w:vAlign w:val="center"/>
            <w:tcMar>
              <w:top w:w="80" w:type="dxa"/>
              <w:bottom w:w="80" w:type="dxa"/>
              <w:start w:w="120" w:type="dxa"/>
              <w:end w:w="120" w:type="dxa"/>
            </w:tcMar>
          </w:tcPr>
          <w:p>
            <w:pPr>
              <w:pStyle w:val="TableHeader"/>
            </w:pPr>
            <w:r>
              <w:t>Mechanism</w:t>
            </w:r>
          </w:p>
        </w:tc>
        <w:tc>
          <w:tcPr>
            <w:tcW w:type="dxa" w:w="3500"/>
            <w:shd w:fill="E8EEF5"/>
            <w:vAlign w:val="center"/>
            <w:tcMar>
              <w:top w:w="80" w:type="dxa"/>
              <w:bottom w:w="80" w:type="dxa"/>
              <w:start w:w="120" w:type="dxa"/>
              <w:end w:w="120" w:type="dxa"/>
            </w:tcMar>
          </w:tcPr>
          <w:p>
            <w:pPr>
              <w:pStyle w:val="TableHeader"/>
            </w:pPr>
            <w:r>
              <w:t>Benefit</w:t>
            </w:r>
          </w:p>
        </w:tc>
        <w:tc>
          <w:tcPr>
            <w:tcW w:type="dxa" w:w="3840"/>
            <w:shd w:fill="E8EEF5"/>
            <w:vAlign w:val="center"/>
            <w:tcMar>
              <w:top w:w="80" w:type="dxa"/>
              <w:bottom w:w="80" w:type="dxa"/>
              <w:start w:w="120" w:type="dxa"/>
              <w:end w:w="120" w:type="dxa"/>
            </w:tcMar>
          </w:tcPr>
          <w:p>
            <w:pPr>
              <w:pStyle w:val="TableHeader"/>
            </w:pPr>
            <w:r>
              <w:t>Tradeoff</w:t>
            </w:r>
          </w:p>
        </w:tc>
      </w:tr>
      <w:tr>
        <w:tc>
          <w:tcPr>
            <w:tcW w:type="dxa" w:w="2020"/>
            <w:vAlign w:val="center"/>
            <w:tcMar>
              <w:top w:w="80" w:type="dxa"/>
              <w:bottom w:w="80" w:type="dxa"/>
              <w:start w:w="120" w:type="dxa"/>
              <w:end w:w="120" w:type="dxa"/>
            </w:tcMar>
          </w:tcPr>
          <w:p>
            <w:pPr>
              <w:pStyle w:val="TableText"/>
            </w:pPr>
            <w:r>
              <w:t>2.5-second backend timeout</w:t>
            </w:r>
          </w:p>
        </w:tc>
        <w:tc>
          <w:tcPr>
            <w:tcW w:type="dxa" w:w="3500"/>
            <w:vAlign w:val="center"/>
            <w:tcMar>
              <w:top w:w="80" w:type="dxa"/>
              <w:bottom w:w="80" w:type="dxa"/>
              <w:start w:w="120" w:type="dxa"/>
              <w:end w:w="120" w:type="dxa"/>
            </w:tcMar>
          </w:tcPr>
          <w:p>
            <w:pPr>
              <w:pStyle w:val="TableText"/>
            </w:pPr>
            <w:r>
              <w:t>Avoids a recruiter staring at a cold-start spinner.</w:t>
            </w:r>
          </w:p>
        </w:tc>
        <w:tc>
          <w:tcPr>
            <w:tcW w:type="dxa" w:w="3840"/>
            <w:vAlign w:val="center"/>
            <w:tcMar>
              <w:top w:w="80" w:type="dxa"/>
              <w:bottom w:w="80" w:type="dxa"/>
              <w:start w:w="120" w:type="dxa"/>
              <w:end w:w="120" w:type="dxa"/>
            </w:tcMar>
          </w:tcPr>
          <w:p>
            <w:pPr>
              <w:pStyle w:val="TableText"/>
            </w:pPr>
            <w:r>
              <w:t>Slow but healthy backend becomes indistinguishable from outage.</w:t>
            </w:r>
          </w:p>
        </w:tc>
      </w:tr>
      <w:tr>
        <w:tc>
          <w:tcPr>
            <w:tcW w:type="dxa" w:w="2020"/>
            <w:vAlign w:val="center"/>
            <w:tcMar>
              <w:top w:w="80" w:type="dxa"/>
              <w:bottom w:w="80" w:type="dxa"/>
              <w:start w:w="120" w:type="dxa"/>
              <w:end w:w="120" w:type="dxa"/>
            </w:tcMar>
          </w:tcPr>
          <w:p>
            <w:pPr>
              <w:pStyle w:val="TableText"/>
            </w:pPr>
            <w:r>
              <w:t>Committed JSON fixture</w:t>
            </w:r>
          </w:p>
        </w:tc>
        <w:tc>
          <w:tcPr>
            <w:tcW w:type="dxa" w:w="3500"/>
            <w:vAlign w:val="center"/>
            <w:tcMar>
              <w:top w:w="80" w:type="dxa"/>
              <w:bottom w:w="80" w:type="dxa"/>
              <w:start w:w="120" w:type="dxa"/>
              <w:end w:w="120" w:type="dxa"/>
            </w:tcMar>
          </w:tcPr>
          <w:p>
            <w:pPr>
              <w:pStyle w:val="TableText"/>
            </w:pPr>
            <w:r>
              <w:t>Vercel page works with no Python host or API spend.</w:t>
            </w:r>
          </w:p>
        </w:tc>
        <w:tc>
          <w:tcPr>
            <w:tcW w:type="dxa" w:w="3840"/>
            <w:vAlign w:val="center"/>
            <w:tcMar>
              <w:top w:w="80" w:type="dxa"/>
              <w:bottom w:w="80" w:type="dxa"/>
              <w:start w:w="120" w:type="dxa"/>
              <w:end w:w="120" w:type="dxa"/>
            </w:tcMar>
          </w:tcPr>
          <w:p>
            <w:pPr>
              <w:pStyle w:val="TableText"/>
            </w:pPr>
            <w:r>
              <w:t>Snapshot can drift unless parity is tested.</w:t>
            </w:r>
          </w:p>
        </w:tc>
      </w:tr>
      <w:tr>
        <w:tc>
          <w:tcPr>
            <w:tcW w:type="dxa" w:w="2020"/>
            <w:vAlign w:val="center"/>
            <w:tcMar>
              <w:top w:w="80" w:type="dxa"/>
              <w:bottom w:w="80" w:type="dxa"/>
              <w:start w:w="120" w:type="dxa"/>
              <w:end w:w="120" w:type="dxa"/>
            </w:tcMar>
          </w:tcPr>
          <w:p>
            <w:pPr>
              <w:pStyle w:val="TableText"/>
            </w:pPr>
            <w:r>
              <w:t>Fixture source badge</w:t>
            </w:r>
          </w:p>
        </w:tc>
        <w:tc>
          <w:tcPr>
            <w:tcW w:type="dxa" w:w="3500"/>
            <w:vAlign w:val="center"/>
            <w:tcMar>
              <w:top w:w="80" w:type="dxa"/>
              <w:bottom w:w="80" w:type="dxa"/>
              <w:start w:w="120" w:type="dxa"/>
              <w:end w:w="120" w:type="dxa"/>
            </w:tcMar>
          </w:tcPr>
          <w:p>
            <w:pPr>
              <w:pStyle w:val="TableText"/>
            </w:pPr>
            <w:r>
              <w:t>UI says demo_fixture instead of pretending model execution.</w:t>
            </w:r>
          </w:p>
        </w:tc>
        <w:tc>
          <w:tcPr>
            <w:tcW w:type="dxa" w:w="3840"/>
            <w:vAlign w:val="center"/>
            <w:tcMar>
              <w:top w:w="80" w:type="dxa"/>
              <w:bottom w:w="80" w:type="dxa"/>
              <w:start w:w="120" w:type="dxa"/>
              <w:end w:w="120" w:type="dxa"/>
            </w:tcMar>
          </w:tcPr>
          <w:p>
            <w:pPr>
              <w:pStyle w:val="TableText"/>
            </w:pPr>
            <w:r>
              <w:t>Users may still assume data is live without stronger labeling.</w:t>
            </w:r>
          </w:p>
        </w:tc>
      </w:tr>
      <w:tr>
        <w:tc>
          <w:tcPr>
            <w:tcW w:type="dxa" w:w="2020"/>
            <w:vAlign w:val="center"/>
            <w:tcMar>
              <w:top w:w="80" w:type="dxa"/>
              <w:bottom w:w="80" w:type="dxa"/>
              <w:start w:w="120" w:type="dxa"/>
              <w:end w:w="120" w:type="dxa"/>
            </w:tcMar>
          </w:tcPr>
          <w:p>
            <w:pPr>
              <w:pStyle w:val="TableText"/>
            </w:pPr>
            <w:r>
              <w:t>Catch-all fallback</w:t>
            </w:r>
          </w:p>
        </w:tc>
        <w:tc>
          <w:tcPr>
            <w:tcW w:type="dxa" w:w="3500"/>
            <w:vAlign w:val="center"/>
            <w:tcMar>
              <w:top w:w="80" w:type="dxa"/>
              <w:bottom w:w="80" w:type="dxa"/>
              <w:start w:w="120" w:type="dxa"/>
              <w:end w:w="120" w:type="dxa"/>
            </w:tcMar>
          </w:tcPr>
          <w:p>
            <w:pPr>
              <w:pStyle w:val="TableText"/>
            </w:pPr>
            <w:r>
              <w:t>Public demo remains available on 401, 500, DNS, or timeout.</w:t>
            </w:r>
          </w:p>
        </w:tc>
        <w:tc>
          <w:tcPr>
            <w:tcW w:type="dxa" w:w="3840"/>
            <w:vAlign w:val="center"/>
            <w:tcMar>
              <w:top w:w="80" w:type="dxa"/>
              <w:bottom w:w="80" w:type="dxa"/>
              <w:start w:w="120" w:type="dxa"/>
              <w:end w:w="120" w:type="dxa"/>
            </w:tcMar>
          </w:tcPr>
          <w:p>
            <w:pPr>
              <w:pStyle w:val="TableText"/>
            </w:pPr>
            <w:r>
              <w:t>Misconfiguration is hidden; logging/metrics are needed.</w:t>
            </w:r>
          </w:p>
        </w:tc>
      </w:tr>
    </w:tbl>
    <w:p>
      <w:pPr>
        <w:spacing w:after="40"/>
      </w:pPr>
    </w:p>
    <w:p>
      <w:pPr>
        <w:pStyle w:val="Callout"/>
        <w:ind w:left="173" w:right="115"/>
        <w:shd w:fill="F4F6F9"/>
        <w:pBdr>
          <w:left w:val="single" w:sz="16" w:space="6" w:color="2E74B5"/>
        </w:pBdr>
      </w:pPr>
      <w:r>
        <w:rPr>
          <w:rFonts w:ascii="Calibri" w:hAnsi="Calibri"/>
          <w:b/>
          <w:color w:val="2E74B5"/>
        </w:rPr>
        <w:t xml:space="preserve">Code reality: </w:t>
      </w:r>
      <w:r>
        <w:t>This is a fixture fallback, not a persistent cache. README and doctor script sometimes call it cached; a true cache would have freshness, keys, storage, and invalidation.</w:t>
      </w:r>
    </w:p>
    <w:p>
      <w:pPr>
        <w:pStyle w:val="Heading2"/>
      </w:pPr>
      <w:r>
        <w:t>Containers and CI</w:t>
      </w:r>
    </w:p>
    <w:p>
      <w:pPr>
        <w:numPr>
          <w:ilvl w:val="0"/>
          <w:numId w:val="51"/>
        </w:numPr>
        <w:spacing w:after="80" w:line="300" w:lineRule="auto"/>
      </w:pPr>
      <w:r>
        <w:t>Backend image: Python 3.11 slim, editable package install, Uvicorn, demo mode default.</w:t>
      </w:r>
    </w:p>
    <w:p>
      <w:pPr>
        <w:numPr>
          <w:ilvl w:val="0"/>
          <w:numId w:val="51"/>
        </w:numPr>
        <w:spacing w:after="80" w:line="300" w:lineRule="auto"/>
      </w:pPr>
      <w:r>
        <w:t>Frontend image: Node 20 slim, npm install, production build, next start.</w:t>
      </w:r>
    </w:p>
    <w:p>
      <w:pPr>
        <w:numPr>
          <w:ilvl w:val="0"/>
          <w:numId w:val="51"/>
        </w:numPr>
        <w:spacing w:after="80" w:line="300" w:lineRule="auto"/>
      </w:pPr>
      <w:r>
        <w:t>Compose health-checks FastAPI before starting Next.js. Port 8000 is host-mapped for local debugging even though browser traffic should use Next.js.</w:t>
      </w:r>
    </w:p>
    <w:p>
      <w:pPr>
        <w:numPr>
          <w:ilvl w:val="0"/>
          <w:numId w:val="51"/>
        </w:numPr>
        <w:spacing w:after="80" w:line="300" w:lineRule="auto"/>
      </w:pPr>
      <w:r>
        <w:t>GitHub Actions runs backend tests, fixture eval, and frontend production build. Ruff is not currently a CI gate.</w:t>
      </w:r>
    </w:p>
    <w:p>
      <w:r>
        <w:br w:type="page"/>
      </w:r>
    </w:p>
    <w:p>
      <w:pPr>
        <w:pStyle w:val="Heading1"/>
      </w:pPr>
      <w:r>
        <w:t>6. Technology choices and alternatives</w:t>
      </w:r>
    </w:p>
    <w:p>
      <w:pPr>
        <w:pStyle w:val="Lead"/>
      </w:pPr>
      <w:r>
        <w:t>Compare tools by project constraints, not popularity. Current choices optimize a small, inspectable reliability demo.</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820"/>
        <w:gridCol w:w="3660"/>
        <w:gridCol w:w="3880"/>
      </w:tblGrid>
      <w:tr>
        <w:trPr>
          <w:tblHeader w:val="true"/>
        </w:trPr>
        <w:tc>
          <w:tcPr>
            <w:tcW w:type="dxa" w:w="1820"/>
            <w:shd w:fill="E8EEF5"/>
            <w:vAlign w:val="center"/>
            <w:tcMar>
              <w:top w:w="80" w:type="dxa"/>
              <w:bottom w:w="80" w:type="dxa"/>
              <w:start w:w="120" w:type="dxa"/>
              <w:end w:w="120" w:type="dxa"/>
            </w:tcMar>
          </w:tcPr>
          <w:p>
            <w:pPr>
              <w:pStyle w:val="TableHeader"/>
            </w:pPr>
            <w:r>
              <w:t>Choice</w:t>
            </w:r>
          </w:p>
        </w:tc>
        <w:tc>
          <w:tcPr>
            <w:tcW w:type="dxa" w:w="3660"/>
            <w:shd w:fill="E8EEF5"/>
            <w:vAlign w:val="center"/>
            <w:tcMar>
              <w:top w:w="80" w:type="dxa"/>
              <w:bottom w:w="80" w:type="dxa"/>
              <w:start w:w="120" w:type="dxa"/>
              <w:end w:w="120" w:type="dxa"/>
            </w:tcMar>
          </w:tcPr>
          <w:p>
            <w:pPr>
              <w:pStyle w:val="TableHeader"/>
            </w:pPr>
            <w:r>
              <w:t>Why it fits</w:t>
            </w:r>
          </w:p>
        </w:tc>
        <w:tc>
          <w:tcPr>
            <w:tcW w:type="dxa" w:w="3880"/>
            <w:shd w:fill="E8EEF5"/>
            <w:vAlign w:val="center"/>
            <w:tcMar>
              <w:top w:w="80" w:type="dxa"/>
              <w:bottom w:w="80" w:type="dxa"/>
              <w:start w:w="120" w:type="dxa"/>
              <w:end w:w="120" w:type="dxa"/>
            </w:tcMar>
          </w:tcPr>
          <w:p>
            <w:pPr>
              <w:pStyle w:val="TableHeader"/>
            </w:pPr>
            <w:r>
              <w:t>Alternative and when it wins</w:t>
            </w:r>
          </w:p>
        </w:tc>
      </w:tr>
      <w:tr>
        <w:tc>
          <w:tcPr>
            <w:tcW w:type="dxa" w:w="1820"/>
            <w:vAlign w:val="center"/>
            <w:tcMar>
              <w:top w:w="80" w:type="dxa"/>
              <w:bottom w:w="80" w:type="dxa"/>
              <w:start w:w="120" w:type="dxa"/>
              <w:end w:w="120" w:type="dxa"/>
            </w:tcMar>
          </w:tcPr>
          <w:p>
            <w:pPr>
              <w:pStyle w:val="TableText"/>
            </w:pPr>
            <w:r>
              <w:t>Next.js Server Components</w:t>
            </w:r>
          </w:p>
        </w:tc>
        <w:tc>
          <w:tcPr>
            <w:tcW w:type="dxa" w:w="3660"/>
            <w:vAlign w:val="center"/>
            <w:tcMar>
              <w:top w:w="80" w:type="dxa"/>
              <w:bottom w:w="80" w:type="dxa"/>
              <w:start w:w="120" w:type="dxa"/>
              <w:end w:w="120" w:type="dxa"/>
            </w:tcMar>
          </w:tcPr>
          <w:p>
            <w:pPr>
              <w:pStyle w:val="TableText"/>
            </w:pPr>
            <w:r>
              <w:t>Server-side secret handling, one public origin, fast no-JS content path.</w:t>
            </w:r>
          </w:p>
        </w:tc>
        <w:tc>
          <w:tcPr>
            <w:tcW w:type="dxa" w:w="3880"/>
            <w:vAlign w:val="center"/>
            <w:tcMar>
              <w:top w:w="80" w:type="dxa"/>
              <w:bottom w:w="80" w:type="dxa"/>
              <w:start w:w="120" w:type="dxa"/>
              <w:end w:w="120" w:type="dxa"/>
            </w:tcMar>
          </w:tcPr>
          <w:p>
            <w:pPr>
              <w:pStyle w:val="TableText"/>
            </w:pPr>
            <w:r>
              <w:t>Vite SPA is simpler for a static client, but needs a public API and CORS or a separate BFF.</w:t>
            </w:r>
          </w:p>
        </w:tc>
      </w:tr>
      <w:tr>
        <w:tc>
          <w:tcPr>
            <w:tcW w:type="dxa" w:w="1820"/>
            <w:vAlign w:val="center"/>
            <w:tcMar>
              <w:top w:w="80" w:type="dxa"/>
              <w:bottom w:w="80" w:type="dxa"/>
              <w:start w:w="120" w:type="dxa"/>
              <w:end w:w="120" w:type="dxa"/>
            </w:tcMar>
          </w:tcPr>
          <w:p>
            <w:pPr>
              <w:pStyle w:val="TableText"/>
            </w:pPr>
            <w:r>
              <w:t>FastAPI</w:t>
            </w:r>
          </w:p>
        </w:tc>
        <w:tc>
          <w:tcPr>
            <w:tcW w:type="dxa" w:w="3660"/>
            <w:vAlign w:val="center"/>
            <w:tcMar>
              <w:top w:w="80" w:type="dxa"/>
              <w:bottom w:w="80" w:type="dxa"/>
              <w:start w:w="120" w:type="dxa"/>
              <w:end w:w="120" w:type="dxa"/>
            </w:tcMar>
          </w:tcPr>
          <w:p>
            <w:pPr>
              <w:pStyle w:val="TableText"/>
            </w:pPr>
            <w:r>
              <w:t>Python-native math stack, type-driven endpoints, automatic OpenAPI, dependency injection.</w:t>
            </w:r>
          </w:p>
        </w:tc>
        <w:tc>
          <w:tcPr>
            <w:tcW w:type="dxa" w:w="3880"/>
            <w:vAlign w:val="center"/>
            <w:tcMar>
              <w:top w:w="80" w:type="dxa"/>
              <w:bottom w:w="80" w:type="dxa"/>
              <w:start w:w="120" w:type="dxa"/>
              <w:end w:w="120" w:type="dxa"/>
            </w:tcMar>
          </w:tcPr>
          <w:p>
            <w:pPr>
              <w:pStyle w:val="TableText"/>
            </w:pPr>
            <w:r>
              <w:t>Node/Next Route Handlers reduce service count; choose them if finance computation does not require Python.</w:t>
            </w:r>
          </w:p>
        </w:tc>
      </w:tr>
      <w:tr>
        <w:tc>
          <w:tcPr>
            <w:tcW w:type="dxa" w:w="1820"/>
            <w:vAlign w:val="center"/>
            <w:tcMar>
              <w:top w:w="80" w:type="dxa"/>
              <w:bottom w:w="80" w:type="dxa"/>
              <w:start w:w="120" w:type="dxa"/>
              <w:end w:w="120" w:type="dxa"/>
            </w:tcMar>
          </w:tcPr>
          <w:p>
            <w:pPr>
              <w:pStyle w:val="TableText"/>
            </w:pPr>
            <w:r>
              <w:t>Pydantic</w:t>
            </w:r>
          </w:p>
        </w:tc>
        <w:tc>
          <w:tcPr>
            <w:tcW w:type="dxa" w:w="3660"/>
            <w:vAlign w:val="center"/>
            <w:tcMar>
              <w:top w:w="80" w:type="dxa"/>
              <w:bottom w:w="80" w:type="dxa"/>
              <w:start w:w="120" w:type="dxa"/>
              <w:end w:w="120" w:type="dxa"/>
            </w:tcMar>
          </w:tcPr>
          <w:p>
            <w:pPr>
              <w:pStyle w:val="TableText"/>
            </w:pPr>
            <w:r>
              <w:t>Runtime validation and a schema usable by FastAPI and Structured Outputs.</w:t>
            </w:r>
          </w:p>
        </w:tc>
        <w:tc>
          <w:tcPr>
            <w:tcW w:type="dxa" w:w="3880"/>
            <w:vAlign w:val="center"/>
            <w:tcMar>
              <w:top w:w="80" w:type="dxa"/>
              <w:bottom w:w="80" w:type="dxa"/>
              <w:start w:w="120" w:type="dxa"/>
              <w:end w:w="120" w:type="dxa"/>
            </w:tcMar>
          </w:tcPr>
          <w:p>
            <w:pPr>
              <w:pStyle w:val="TableText"/>
            </w:pPr>
            <w:r>
              <w:t>Dataclasses are lighter but do not provide equivalent validation/schema generation.</w:t>
            </w:r>
          </w:p>
        </w:tc>
      </w:tr>
      <w:tr>
        <w:tc>
          <w:tcPr>
            <w:tcW w:type="dxa" w:w="1820"/>
            <w:vAlign w:val="center"/>
            <w:tcMar>
              <w:top w:w="80" w:type="dxa"/>
              <w:bottom w:w="80" w:type="dxa"/>
              <w:start w:w="120" w:type="dxa"/>
              <w:end w:w="120" w:type="dxa"/>
            </w:tcMar>
          </w:tcPr>
          <w:p>
            <w:pPr>
              <w:pStyle w:val="TableText"/>
            </w:pPr>
            <w:r>
              <w:t>NumPy</w:t>
            </w:r>
          </w:p>
        </w:tc>
        <w:tc>
          <w:tcPr>
            <w:tcW w:type="dxa" w:w="3660"/>
            <w:vAlign w:val="center"/>
            <w:tcMar>
              <w:top w:w="80" w:type="dxa"/>
              <w:bottom w:w="80" w:type="dxa"/>
              <w:start w:w="120" w:type="dxa"/>
              <w:end w:w="120" w:type="dxa"/>
            </w:tcMar>
          </w:tcPr>
          <w:p>
            <w:pPr>
              <w:pStyle w:val="TableText"/>
            </w:pPr>
            <w:r>
              <w:t>Small fixed arrays, covariance, Cholesky, and transparent formulas with low overhead.</w:t>
            </w:r>
          </w:p>
        </w:tc>
        <w:tc>
          <w:tcPr>
            <w:tcW w:type="dxa" w:w="3880"/>
            <w:vAlign w:val="center"/>
            <w:tcMar>
              <w:top w:w="80" w:type="dxa"/>
              <w:bottom w:w="80" w:type="dxa"/>
              <w:start w:w="120" w:type="dxa"/>
              <w:end w:w="120" w:type="dxa"/>
            </w:tcMar>
          </w:tcPr>
          <w:p>
            <w:pPr>
              <w:pStyle w:val="TableText"/>
            </w:pPr>
            <w:r>
              <w:t>Pandas/Polars win when date alignment, missing values, larger tabular transforms, and grouping dominate.</w:t>
            </w:r>
          </w:p>
        </w:tc>
      </w:tr>
      <w:tr>
        <w:tc>
          <w:tcPr>
            <w:tcW w:type="dxa" w:w="1820"/>
            <w:vAlign w:val="center"/>
            <w:tcMar>
              <w:top w:w="80" w:type="dxa"/>
              <w:bottom w:w="80" w:type="dxa"/>
              <w:start w:w="120" w:type="dxa"/>
              <w:end w:w="120" w:type="dxa"/>
            </w:tcMar>
          </w:tcPr>
          <w:p>
            <w:pPr>
              <w:pStyle w:val="TableText"/>
            </w:pPr>
            <w:r>
              <w:t>Structured Outputs</w:t>
            </w:r>
          </w:p>
        </w:tc>
        <w:tc>
          <w:tcPr>
            <w:tcW w:type="dxa" w:w="3660"/>
            <w:vAlign w:val="center"/>
            <w:tcMar>
              <w:top w:w="80" w:type="dxa"/>
              <w:bottom w:w="80" w:type="dxa"/>
              <w:start w:w="120" w:type="dxa"/>
              <w:end w:w="120" w:type="dxa"/>
            </w:tcMar>
          </w:tcPr>
          <w:p>
            <w:pPr>
              <w:pStyle w:val="TableText"/>
            </w:pPr>
            <w:r>
              <w:t>Model response shape maps directly to a typed object.</w:t>
            </w:r>
          </w:p>
        </w:tc>
        <w:tc>
          <w:tcPr>
            <w:tcW w:type="dxa" w:w="3880"/>
            <w:vAlign w:val="center"/>
            <w:tcMar>
              <w:top w:w="80" w:type="dxa"/>
              <w:bottom w:w="80" w:type="dxa"/>
              <w:start w:w="120" w:type="dxa"/>
              <w:end w:w="120" w:type="dxa"/>
            </w:tcMar>
          </w:tcPr>
          <w:p>
            <w:pPr>
              <w:pStyle w:val="TableText"/>
            </w:pPr>
            <w:r>
              <w:t>Plain JSON mode needs manual schema validation; tool/function calling fits when the model must choose actions.</w:t>
            </w:r>
          </w:p>
        </w:tc>
      </w:tr>
      <w:tr>
        <w:tc>
          <w:tcPr>
            <w:tcW w:type="dxa" w:w="1820"/>
            <w:vAlign w:val="center"/>
            <w:tcMar>
              <w:top w:w="80" w:type="dxa"/>
              <w:bottom w:w="80" w:type="dxa"/>
              <w:start w:w="120" w:type="dxa"/>
              <w:end w:w="120" w:type="dxa"/>
            </w:tcMar>
          </w:tcPr>
          <w:p>
            <w:pPr>
              <w:pStyle w:val="TableText"/>
            </w:pPr>
            <w:r>
              <w:t>Custom number guardrail</w:t>
            </w:r>
          </w:p>
        </w:tc>
        <w:tc>
          <w:tcPr>
            <w:tcW w:type="dxa" w:w="3660"/>
            <w:vAlign w:val="center"/>
            <w:tcMar>
              <w:top w:w="80" w:type="dxa"/>
              <w:bottom w:w="80" w:type="dxa"/>
              <w:start w:w="120" w:type="dxa"/>
              <w:end w:w="120" w:type="dxa"/>
            </w:tcMar>
          </w:tcPr>
          <w:p>
            <w:pPr>
              <w:pStyle w:val="TableText"/>
            </w:pPr>
            <w:r>
              <w:t>Directly addresses wrong numeric claims in prose and is easy to unit test.</w:t>
            </w:r>
          </w:p>
        </w:tc>
        <w:tc>
          <w:tcPr>
            <w:tcW w:type="dxa" w:w="3880"/>
            <w:vAlign w:val="center"/>
            <w:tcMar>
              <w:top w:w="80" w:type="dxa"/>
              <w:bottom w:w="80" w:type="dxa"/>
              <w:start w:w="120" w:type="dxa"/>
              <w:end w:w="120" w:type="dxa"/>
            </w:tcMar>
          </w:tcPr>
          <w:p>
            <w:pPr>
              <w:pStyle w:val="TableText"/>
            </w:pPr>
            <w:r>
              <w:t>Citation spans or claim-level verification offer stronger semantics but add model and data complexity.</w:t>
            </w:r>
          </w:p>
        </w:tc>
      </w:tr>
      <w:tr>
        <w:tc>
          <w:tcPr>
            <w:tcW w:type="dxa" w:w="1820"/>
            <w:vAlign w:val="center"/>
            <w:tcMar>
              <w:top w:w="80" w:type="dxa"/>
              <w:bottom w:w="80" w:type="dxa"/>
              <w:start w:w="120" w:type="dxa"/>
              <w:end w:w="120" w:type="dxa"/>
            </w:tcMar>
          </w:tcPr>
          <w:p>
            <w:pPr>
              <w:pStyle w:val="TableText"/>
            </w:pPr>
            <w:r>
              <w:t>Synthetic committed data</w:t>
            </w:r>
          </w:p>
        </w:tc>
        <w:tc>
          <w:tcPr>
            <w:tcW w:type="dxa" w:w="3660"/>
            <w:vAlign w:val="center"/>
            <w:tcMar>
              <w:top w:w="80" w:type="dxa"/>
              <w:bottom w:w="80" w:type="dxa"/>
              <w:start w:w="120" w:type="dxa"/>
              <w:end w:w="120" w:type="dxa"/>
            </w:tcMar>
          </w:tcPr>
          <w:p>
            <w:pPr>
              <w:pStyle w:val="TableText"/>
            </w:pPr>
            <w:r>
              <w:t>License-clean, deterministic, offline, and stable for tests.</w:t>
            </w:r>
          </w:p>
        </w:tc>
        <w:tc>
          <w:tcPr>
            <w:tcW w:type="dxa" w:w="3880"/>
            <w:vAlign w:val="center"/>
            <w:tcMar>
              <w:top w:w="80" w:type="dxa"/>
              <w:bottom w:w="80" w:type="dxa"/>
              <w:start w:w="120" w:type="dxa"/>
              <w:end w:w="120" w:type="dxa"/>
            </w:tcMar>
          </w:tcPr>
          <w:p>
            <w:pPr>
              <w:pStyle w:val="TableText"/>
            </w:pPr>
            <w:r>
              <w:t>Real licensed feeds win for user value but require retrieval, terms, cleaning, freshness, and outage handling.</w:t>
            </w:r>
          </w:p>
        </w:tc>
      </w:tr>
      <w:tr>
        <w:tc>
          <w:tcPr>
            <w:tcW w:type="dxa" w:w="1820"/>
            <w:vAlign w:val="center"/>
            <w:tcMar>
              <w:top w:w="80" w:type="dxa"/>
              <w:bottom w:w="80" w:type="dxa"/>
              <w:start w:w="120" w:type="dxa"/>
              <w:end w:w="120" w:type="dxa"/>
            </w:tcMar>
          </w:tcPr>
          <w:p>
            <w:pPr>
              <w:pStyle w:val="TableText"/>
            </w:pPr>
            <w:r>
              <w:t>Shared secret + private URL</w:t>
            </w:r>
          </w:p>
        </w:tc>
        <w:tc>
          <w:tcPr>
            <w:tcW w:type="dxa" w:w="3660"/>
            <w:vAlign w:val="center"/>
            <w:tcMar>
              <w:top w:w="80" w:type="dxa"/>
              <w:bottom w:w="80" w:type="dxa"/>
              <w:start w:w="120" w:type="dxa"/>
              <w:end w:w="120" w:type="dxa"/>
            </w:tcMar>
          </w:tcPr>
          <w:p>
            <w:pPr>
              <w:pStyle w:val="TableText"/>
            </w:pPr>
            <w:r>
              <w:t>Adequate service-to-service gate for a small demo when network isolation exists.</w:t>
            </w:r>
          </w:p>
        </w:tc>
        <w:tc>
          <w:tcPr>
            <w:tcW w:type="dxa" w:w="3880"/>
            <w:vAlign w:val="center"/>
            <w:tcMar>
              <w:top w:w="80" w:type="dxa"/>
              <w:bottom w:w="80" w:type="dxa"/>
              <w:start w:w="120" w:type="dxa"/>
              <w:end w:w="120" w:type="dxa"/>
            </w:tcMar>
          </w:tcPr>
          <w:p>
            <w:pPr>
              <w:pStyle w:val="TableText"/>
            </w:pPr>
            <w:r>
              <w:t>mTLS, workload identity, or signed short-lived tokens win for multi-service production systems.</w:t>
            </w:r>
          </w:p>
        </w:tc>
      </w:tr>
      <w:tr>
        <w:tc>
          <w:tcPr>
            <w:tcW w:type="dxa" w:w="1820"/>
            <w:vAlign w:val="center"/>
            <w:tcMar>
              <w:top w:w="80" w:type="dxa"/>
              <w:bottom w:w="80" w:type="dxa"/>
              <w:start w:w="120" w:type="dxa"/>
              <w:end w:w="120" w:type="dxa"/>
            </w:tcMar>
          </w:tcPr>
          <w:p>
            <w:pPr>
              <w:pStyle w:val="TableText"/>
            </w:pPr>
            <w:r>
              <w:t>Committed fixture</w:t>
            </w:r>
          </w:p>
        </w:tc>
        <w:tc>
          <w:tcPr>
            <w:tcW w:type="dxa" w:w="3660"/>
            <w:vAlign w:val="center"/>
            <w:tcMar>
              <w:top w:w="80" w:type="dxa"/>
              <w:bottom w:w="80" w:type="dxa"/>
              <w:start w:w="120" w:type="dxa"/>
              <w:end w:w="120" w:type="dxa"/>
            </w:tcMar>
          </w:tcPr>
          <w:p>
            <w:pPr>
              <w:pStyle w:val="TableText"/>
            </w:pPr>
            <w:r>
              <w:t>Zero-cost, instant demo fallback.</w:t>
            </w:r>
          </w:p>
        </w:tc>
        <w:tc>
          <w:tcPr>
            <w:tcW w:type="dxa" w:w="3880"/>
            <w:vAlign w:val="center"/>
            <w:tcMar>
              <w:top w:w="80" w:type="dxa"/>
              <w:bottom w:w="80" w:type="dxa"/>
              <w:start w:w="120" w:type="dxa"/>
              <w:end w:w="120" w:type="dxa"/>
            </w:tcMar>
          </w:tcPr>
          <w:p>
            <w:pPr>
              <w:pStyle w:val="TableText"/>
            </w:pPr>
            <w:r>
              <w:t>Redis/Postgres cache wins when reports vary, freshness matters, or regeneration must be controlled.</w:t>
            </w:r>
          </w:p>
        </w:tc>
      </w:tr>
      <w:tr>
        <w:tc>
          <w:tcPr>
            <w:tcW w:type="dxa" w:w="1820"/>
            <w:vAlign w:val="center"/>
            <w:tcMar>
              <w:top w:w="80" w:type="dxa"/>
              <w:bottom w:w="80" w:type="dxa"/>
              <w:start w:w="120" w:type="dxa"/>
              <w:end w:w="120" w:type="dxa"/>
            </w:tcMar>
          </w:tcPr>
          <w:p>
            <w:pPr>
              <w:pStyle w:val="TableText"/>
            </w:pPr>
            <w:r>
              <w:t>No database</w:t>
            </w:r>
          </w:p>
        </w:tc>
        <w:tc>
          <w:tcPr>
            <w:tcW w:type="dxa" w:w="3660"/>
            <w:vAlign w:val="center"/>
            <w:tcMar>
              <w:top w:w="80" w:type="dxa"/>
              <w:bottom w:w="80" w:type="dxa"/>
              <w:start w:w="120" w:type="dxa"/>
              <w:end w:w="120" w:type="dxa"/>
            </w:tcMar>
          </w:tcPr>
          <w:p>
            <w:pPr>
              <w:pStyle w:val="TableText"/>
            </w:pPr>
            <w:r>
              <w:t>No users, writes, or history means no storage burden.</w:t>
            </w:r>
          </w:p>
        </w:tc>
        <w:tc>
          <w:tcPr>
            <w:tcW w:type="dxa" w:w="3880"/>
            <w:vAlign w:val="center"/>
            <w:tcMar>
              <w:top w:w="80" w:type="dxa"/>
              <w:bottom w:w="80" w:type="dxa"/>
              <w:start w:w="120" w:type="dxa"/>
              <w:end w:w="120" w:type="dxa"/>
            </w:tcMar>
          </w:tcPr>
          <w:p>
            <w:pPr>
              <w:pStyle w:val="TableText"/>
            </w:pPr>
            <w:r>
              <w:t>Postgres becomes justified with accounts, uploads, history, audit records, or report cache keys.</w:t>
            </w:r>
          </w:p>
        </w:tc>
      </w:tr>
      <w:tr>
        <w:tc>
          <w:tcPr>
            <w:tcW w:type="dxa" w:w="1820"/>
            <w:vAlign w:val="center"/>
            <w:tcMar>
              <w:top w:w="80" w:type="dxa"/>
              <w:bottom w:w="80" w:type="dxa"/>
              <w:start w:w="120" w:type="dxa"/>
              <w:end w:w="120" w:type="dxa"/>
            </w:tcMar>
          </w:tcPr>
          <w:p>
            <w:pPr>
              <w:pStyle w:val="TableText"/>
            </w:pPr>
            <w:r>
              <w:t>pytest + stubs</w:t>
            </w:r>
          </w:p>
        </w:tc>
        <w:tc>
          <w:tcPr>
            <w:tcW w:type="dxa" w:w="3660"/>
            <w:vAlign w:val="center"/>
            <w:tcMar>
              <w:top w:w="80" w:type="dxa"/>
              <w:bottom w:w="80" w:type="dxa"/>
              <w:start w:w="120" w:type="dxa"/>
              <w:end w:w="120" w:type="dxa"/>
            </w:tcMar>
          </w:tcPr>
          <w:p>
            <w:pPr>
              <w:pStyle w:val="TableText"/>
            </w:pPr>
            <w:r>
              <w:t>Fast deterministic tests cover math and model failure branches without API spend.</w:t>
            </w:r>
          </w:p>
        </w:tc>
        <w:tc>
          <w:tcPr>
            <w:tcW w:type="dxa" w:w="3880"/>
            <w:vAlign w:val="center"/>
            <w:tcMar>
              <w:top w:w="80" w:type="dxa"/>
              <w:bottom w:w="80" w:type="dxa"/>
              <w:start w:w="120" w:type="dxa"/>
              <w:end w:w="120" w:type="dxa"/>
            </w:tcMar>
          </w:tcPr>
          <w:p>
            <w:pPr>
              <w:pStyle w:val="TableText"/>
            </w:pPr>
            <w:r>
              <w:t>Contract and E2E tests are needed when multiple deployed services and browser interactions grow.</w:t>
            </w:r>
          </w:p>
        </w:tc>
      </w:tr>
    </w:tbl>
    <w:p>
      <w:pPr>
        <w:spacing w:after="40"/>
      </w:pPr>
    </w:p>
    <w:p>
      <w:pPr>
        <w:pStyle w:val="Heading2"/>
      </w:pPr>
      <w:r>
        <w:t>Technique comparison sound bites</w:t>
      </w:r>
    </w:p>
    <w:p>
      <w:pPr>
        <w:numPr>
          <w:ilvl w:val="0"/>
          <w:numId w:val="51"/>
        </w:numPr>
        <w:spacing w:after="80" w:line="300" w:lineRule="auto"/>
      </w:pPr>
      <w:r>
        <w:t>Structured output solves syntax; validation solves business truth.</w:t>
      </w:r>
    </w:p>
    <w:p>
      <w:pPr>
        <w:numPr>
          <w:ilvl w:val="0"/>
          <w:numId w:val="51"/>
        </w:numPr>
        <w:spacing w:after="80" w:line="300" w:lineRule="auto"/>
      </w:pPr>
      <w:r>
        <w:t>Server Components reduce secret exposure; they do not eliminate backend authorization.</w:t>
      </w:r>
    </w:p>
    <w:p>
      <w:pPr>
        <w:numPr>
          <w:ilvl w:val="0"/>
          <w:numId w:val="51"/>
        </w:numPr>
        <w:spacing w:after="80" w:line="300" w:lineRule="auto"/>
      </w:pPr>
      <w:r>
        <w:t>A deterministic fallback improves availability; observability must prevent it from hiding outages.</w:t>
      </w:r>
    </w:p>
    <w:p>
      <w:pPr>
        <w:numPr>
          <w:ilvl w:val="0"/>
          <w:numId w:val="51"/>
        </w:numPr>
        <w:spacing w:after="80" w:line="300" w:lineRule="auto"/>
      </w:pPr>
      <w:r>
        <w:t>Synthetic data improves reproducibility; it reduces external validity.</w:t>
      </w:r>
    </w:p>
    <w:p>
      <w:pPr>
        <w:numPr>
          <w:ilvl w:val="0"/>
          <w:numId w:val="51"/>
        </w:numPr>
        <w:spacing w:after="80" w:line="300" w:lineRule="auto"/>
      </w:pPr>
      <w:r>
        <w:t>Two services preserve Python specialization; one service would simplify operations.</w:t>
      </w:r>
    </w:p>
    <w:p>
      <w:pPr>
        <w:numPr>
          <w:ilvl w:val="0"/>
          <w:numId w:val="51"/>
        </w:numPr>
        <w:spacing w:after="80" w:line="300" w:lineRule="auto"/>
      </w:pPr>
      <w:r>
        <w:t>Tests with stubs prove branch logic; live eval measures real model behavior.</w:t>
      </w:r>
    </w:p>
    <w:p>
      <w:r>
        <w:br w:type="page"/>
      </w:r>
    </w:p>
    <w:p>
      <w:pPr>
        <w:pStyle w:val="Heading1"/>
      </w:pPr>
      <w:r>
        <w:t>7. Verification evidence</w:t>
      </w:r>
    </w:p>
    <w:p>
      <w:pPr>
        <w:pStyle w:val="Lead"/>
      </w:pPr>
      <w:r>
        <w:t>Checks run against the reviewed workspace on 2026-06-29:</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900"/>
        <w:gridCol w:w="3180"/>
        <w:gridCol w:w="4280"/>
      </w:tblGrid>
      <w:tr>
        <w:trPr>
          <w:tblHeader w:val="true"/>
        </w:trPr>
        <w:tc>
          <w:tcPr>
            <w:tcW w:type="dxa" w:w="1900"/>
            <w:shd w:fill="E8EEF5"/>
            <w:vAlign w:val="center"/>
            <w:tcMar>
              <w:top w:w="80" w:type="dxa"/>
              <w:bottom w:w="80" w:type="dxa"/>
              <w:start w:w="120" w:type="dxa"/>
              <w:end w:w="120" w:type="dxa"/>
            </w:tcMar>
          </w:tcPr>
          <w:p>
            <w:pPr>
              <w:pStyle w:val="TableHeader"/>
            </w:pPr>
            <w:r>
              <w:t>Check</w:t>
            </w:r>
          </w:p>
        </w:tc>
        <w:tc>
          <w:tcPr>
            <w:tcW w:type="dxa" w:w="3180"/>
            <w:shd w:fill="E8EEF5"/>
            <w:vAlign w:val="center"/>
            <w:tcMar>
              <w:top w:w="80" w:type="dxa"/>
              <w:bottom w:w="80" w:type="dxa"/>
              <w:start w:w="120" w:type="dxa"/>
              <w:end w:w="120" w:type="dxa"/>
            </w:tcMar>
          </w:tcPr>
          <w:p>
            <w:pPr>
              <w:pStyle w:val="TableHeader"/>
            </w:pPr>
            <w:r>
              <w:t>Result</w:t>
            </w:r>
          </w:p>
        </w:tc>
        <w:tc>
          <w:tcPr>
            <w:tcW w:type="dxa" w:w="4280"/>
            <w:shd w:fill="E8EEF5"/>
            <w:vAlign w:val="center"/>
            <w:tcMar>
              <w:top w:w="80" w:type="dxa"/>
              <w:bottom w:w="80" w:type="dxa"/>
              <w:start w:w="120" w:type="dxa"/>
              <w:end w:w="120" w:type="dxa"/>
            </w:tcMar>
          </w:tcPr>
          <w:p>
            <w:pPr>
              <w:pStyle w:val="TableHeader"/>
            </w:pPr>
            <w:r>
              <w:t>Interpretation</w:t>
            </w:r>
          </w:p>
        </w:tc>
      </w:tr>
      <w:tr>
        <w:tc>
          <w:tcPr>
            <w:tcW w:type="dxa" w:w="1900"/>
            <w:vAlign w:val="center"/>
            <w:tcMar>
              <w:top w:w="80" w:type="dxa"/>
              <w:bottom w:w="80" w:type="dxa"/>
              <w:start w:w="120" w:type="dxa"/>
              <w:end w:w="120" w:type="dxa"/>
            </w:tcMar>
          </w:tcPr>
          <w:p>
            <w:pPr>
              <w:pStyle w:val="TableText"/>
            </w:pPr>
            <w:r>
              <w:t>Backend pytest</w:t>
            </w:r>
          </w:p>
        </w:tc>
        <w:tc>
          <w:tcPr>
            <w:tcW w:type="dxa" w:w="3180"/>
            <w:vAlign w:val="center"/>
            <w:tcMar>
              <w:top w:w="80" w:type="dxa"/>
              <w:bottom w:w="80" w:type="dxa"/>
              <w:start w:w="120" w:type="dxa"/>
              <w:end w:w="120" w:type="dxa"/>
            </w:tcMar>
          </w:tcPr>
          <w:p>
            <w:pPr>
              <w:pStyle w:val="TableText"/>
            </w:pPr>
            <w:r>
              <w:t>39 passed; one deprecation warning</w:t>
            </w:r>
          </w:p>
        </w:tc>
        <w:tc>
          <w:tcPr>
            <w:tcW w:type="dxa" w:w="4280"/>
            <w:vAlign w:val="center"/>
            <w:tcMar>
              <w:top w:w="80" w:type="dxa"/>
              <w:bottom w:w="80" w:type="dxa"/>
              <w:start w:w="120" w:type="dxa"/>
              <w:end w:w="120" w:type="dxa"/>
            </w:tcMar>
          </w:tcPr>
          <w:p>
            <w:pPr>
              <w:pStyle w:val="TableText"/>
            </w:pPr>
            <w:r>
              <w:t>Math, API, guardrail, import boundary, and stubbed live pipeline pass.</w:t>
            </w:r>
          </w:p>
        </w:tc>
      </w:tr>
      <w:tr>
        <w:tc>
          <w:tcPr>
            <w:tcW w:type="dxa" w:w="1900"/>
            <w:vAlign w:val="center"/>
            <w:tcMar>
              <w:top w:w="80" w:type="dxa"/>
              <w:bottom w:w="80" w:type="dxa"/>
              <w:start w:w="120" w:type="dxa"/>
              <w:end w:w="120" w:type="dxa"/>
            </w:tcMar>
          </w:tcPr>
          <w:p>
            <w:pPr>
              <w:pStyle w:val="TableText"/>
            </w:pPr>
            <w:r>
              <w:t>Fixture eval</w:t>
            </w:r>
          </w:p>
        </w:tc>
        <w:tc>
          <w:tcPr>
            <w:tcW w:type="dxa" w:w="3180"/>
            <w:vAlign w:val="center"/>
            <w:tcMar>
              <w:top w:w="80" w:type="dxa"/>
              <w:bottom w:w="80" w:type="dxa"/>
              <w:start w:w="120" w:type="dxa"/>
              <w:end w:w="120" w:type="dxa"/>
            </w:tcMar>
          </w:tcPr>
          <w:p>
            <w:pPr>
              <w:pStyle w:val="TableText"/>
            </w:pPr>
            <w:r>
              <w:t>4 cases; 2 injected hallucinations; 2 caught; 100% catch rate</w:t>
            </w:r>
          </w:p>
        </w:tc>
        <w:tc>
          <w:tcPr>
            <w:tcW w:type="dxa" w:w="4280"/>
            <w:vAlign w:val="center"/>
            <w:tcMar>
              <w:top w:w="80" w:type="dxa"/>
              <w:bottom w:w="80" w:type="dxa"/>
              <w:start w:w="120" w:type="dxa"/>
              <w:end w:w="120" w:type="dxa"/>
            </w:tcMar>
          </w:tcPr>
          <w:p>
            <w:pPr>
              <w:pStyle w:val="TableText"/>
            </w:pPr>
            <w:r>
              <w:t>Small deterministic fixture proves examples only; not a population-level model metric.</w:t>
            </w:r>
          </w:p>
        </w:tc>
      </w:tr>
      <w:tr>
        <w:tc>
          <w:tcPr>
            <w:tcW w:type="dxa" w:w="1900"/>
            <w:vAlign w:val="center"/>
            <w:tcMar>
              <w:top w:w="80" w:type="dxa"/>
              <w:bottom w:w="80" w:type="dxa"/>
              <w:start w:w="120" w:type="dxa"/>
              <w:end w:w="120" w:type="dxa"/>
            </w:tcMar>
          </w:tcPr>
          <w:p>
            <w:pPr>
              <w:pStyle w:val="TableText"/>
            </w:pPr>
            <w:r>
              <w:t>Frontend build</w:t>
            </w:r>
          </w:p>
        </w:tc>
        <w:tc>
          <w:tcPr>
            <w:tcW w:type="dxa" w:w="3180"/>
            <w:vAlign w:val="center"/>
            <w:tcMar>
              <w:top w:w="80" w:type="dxa"/>
              <w:bottom w:w="80" w:type="dxa"/>
              <w:start w:w="120" w:type="dxa"/>
              <w:end w:w="120" w:type="dxa"/>
            </w:tcMar>
          </w:tcPr>
          <w:p>
            <w:pPr>
              <w:pStyle w:val="TableText"/>
            </w:pPr>
            <w:r>
              <w:t>Compiled, type-checked, routes generated</w:t>
            </w:r>
          </w:p>
        </w:tc>
        <w:tc>
          <w:tcPr>
            <w:tcW w:type="dxa" w:w="4280"/>
            <w:vAlign w:val="center"/>
            <w:tcMar>
              <w:top w:w="80" w:type="dxa"/>
              <w:bottom w:w="80" w:type="dxa"/>
              <w:start w:w="120" w:type="dxa"/>
              <w:end w:w="120" w:type="dxa"/>
            </w:tcMar>
          </w:tcPr>
          <w:p>
            <w:pPr>
              <w:pStyle w:val="TableText"/>
            </w:pPr>
            <w:r>
              <w:t>Production build passes. Warning: Next inferred a higher workspace root due another lockfile.</w:t>
            </w:r>
          </w:p>
        </w:tc>
      </w:tr>
      <w:tr>
        <w:tc>
          <w:tcPr>
            <w:tcW w:type="dxa" w:w="1900"/>
            <w:vAlign w:val="center"/>
            <w:tcMar>
              <w:top w:w="80" w:type="dxa"/>
              <w:bottom w:w="80" w:type="dxa"/>
              <w:start w:w="120" w:type="dxa"/>
              <w:end w:w="120" w:type="dxa"/>
            </w:tcMar>
          </w:tcPr>
          <w:p>
            <w:pPr>
              <w:pStyle w:val="TableText"/>
            </w:pPr>
            <w:r>
              <w:t>Ruff</w:t>
            </w:r>
          </w:p>
        </w:tc>
        <w:tc>
          <w:tcPr>
            <w:tcW w:type="dxa" w:w="3180"/>
            <w:vAlign w:val="center"/>
            <w:tcMar>
              <w:top w:w="80" w:type="dxa"/>
              <w:bottom w:w="80" w:type="dxa"/>
              <w:start w:w="120" w:type="dxa"/>
              <w:end w:w="120" w:type="dxa"/>
            </w:tcMar>
          </w:tcPr>
          <w:p>
            <w:pPr>
              <w:pStyle w:val="TableText"/>
            </w:pPr>
            <w:r>
              <w:t>2 fixable unused-import errors</w:t>
            </w:r>
          </w:p>
        </w:tc>
        <w:tc>
          <w:tcPr>
            <w:tcW w:type="dxa" w:w="4280"/>
            <w:vAlign w:val="center"/>
            <w:tcMar>
              <w:top w:w="80" w:type="dxa"/>
              <w:bottom w:w="80" w:type="dxa"/>
              <w:start w:w="120" w:type="dxa"/>
              <w:end w:w="120" w:type="dxa"/>
            </w:tcMar>
          </w:tcPr>
          <w:p>
            <w:pPr>
              <w:pStyle w:val="TableText"/>
            </w:pPr>
            <w:r>
              <w:t>Code behavior passes, but style gate is not clean and CI does not run Ruff.</w:t>
            </w:r>
          </w:p>
        </w:tc>
      </w:tr>
      <w:tr>
        <w:tc>
          <w:tcPr>
            <w:tcW w:type="dxa" w:w="1900"/>
            <w:vAlign w:val="center"/>
            <w:tcMar>
              <w:top w:w="80" w:type="dxa"/>
              <w:bottom w:w="80" w:type="dxa"/>
              <w:start w:w="120" w:type="dxa"/>
              <w:end w:w="120" w:type="dxa"/>
            </w:tcMar>
          </w:tcPr>
          <w:p>
            <w:pPr>
              <w:pStyle w:val="TableText"/>
            </w:pPr>
            <w:r>
              <w:t>Fixture parity</w:t>
            </w:r>
          </w:p>
        </w:tc>
        <w:tc>
          <w:tcPr>
            <w:tcW w:type="dxa" w:w="3180"/>
            <w:vAlign w:val="center"/>
            <w:tcMar>
              <w:top w:w="80" w:type="dxa"/>
              <w:bottom w:w="80" w:type="dxa"/>
              <w:start w:w="120" w:type="dxa"/>
              <w:end w:w="120" w:type="dxa"/>
            </w:tcMar>
          </w:tcPr>
          <w:p>
            <w:pPr>
              <w:pStyle w:val="TableText"/>
            </w:pPr>
            <w:r>
              <w:t>Exact match with computed demo RiskReport</w:t>
            </w:r>
          </w:p>
        </w:tc>
        <w:tc>
          <w:tcPr>
            <w:tcW w:type="dxa" w:w="4280"/>
            <w:vAlign w:val="center"/>
            <w:tcMar>
              <w:top w:w="80" w:type="dxa"/>
              <w:bottom w:w="80" w:type="dxa"/>
              <w:start w:w="120" w:type="dxa"/>
              <w:end w:w="120" w:type="dxa"/>
            </w:tcMar>
          </w:tcPr>
          <w:p>
            <w:pPr>
              <w:pStyle w:val="TableText"/>
            </w:pPr>
            <w:r>
              <w:t>Current JSON snapshot is not stale at review time.</w:t>
            </w:r>
          </w:p>
        </w:tc>
      </w:tr>
      <w:tr>
        <w:tc>
          <w:tcPr>
            <w:tcW w:type="dxa" w:w="1900"/>
            <w:vAlign w:val="center"/>
            <w:tcMar>
              <w:top w:w="80" w:type="dxa"/>
              <w:bottom w:w="80" w:type="dxa"/>
              <w:start w:w="120" w:type="dxa"/>
              <w:end w:w="120" w:type="dxa"/>
            </w:tcMar>
          </w:tcPr>
          <w:p>
            <w:pPr>
              <w:pStyle w:val="TableText"/>
            </w:pPr>
            <w:r>
              <w:t>Live OpenAI call</w:t>
            </w:r>
          </w:p>
        </w:tc>
        <w:tc>
          <w:tcPr>
            <w:tcW w:type="dxa" w:w="3180"/>
            <w:vAlign w:val="center"/>
            <w:tcMar>
              <w:top w:w="80" w:type="dxa"/>
              <w:bottom w:w="80" w:type="dxa"/>
              <w:start w:w="120" w:type="dxa"/>
              <w:end w:w="120" w:type="dxa"/>
            </w:tcMar>
          </w:tcPr>
          <w:p>
            <w:pPr>
              <w:pStyle w:val="TableText"/>
            </w:pPr>
            <w:r>
              <w:t>Not executed during review</w:t>
            </w:r>
          </w:p>
        </w:tc>
        <w:tc>
          <w:tcPr>
            <w:tcW w:type="dxa" w:w="4280"/>
            <w:vAlign w:val="center"/>
            <w:tcMar>
              <w:top w:w="80" w:type="dxa"/>
              <w:bottom w:w="80" w:type="dxa"/>
              <w:start w:w="120" w:type="dxa"/>
              <w:end w:w="120" w:type="dxa"/>
            </w:tcMar>
          </w:tcPr>
          <w:p>
            <w:pPr>
              <w:pStyle w:val="TableText"/>
            </w:pPr>
            <w:r>
              <w:t>No claim about current external model/API behavior or cost path.</w:t>
            </w:r>
          </w:p>
        </w:tc>
      </w:tr>
    </w:tbl>
    <w:p>
      <w:pPr>
        <w:spacing w:after="40"/>
      </w:pPr>
    </w:p>
    <w:p>
      <w:pPr>
        <w:pStyle w:val="Callout"/>
        <w:ind w:left="173" w:right="115"/>
        <w:shd w:fill="F4F6F9"/>
        <w:pBdr>
          <w:left w:val="single" w:sz="16" w:space="6" w:color="2E74B5"/>
        </w:pBdr>
      </w:pPr>
      <w:r>
        <w:rPr>
          <w:rFonts w:ascii="Calibri" w:hAnsi="Calibri"/>
          <w:b/>
          <w:color w:val="2E74B5"/>
        </w:rPr>
        <w:t xml:space="preserve">Claim carefully: </w:t>
      </w:r>
      <w:r>
        <w:t>Say: “The fixture guardrail eval caught two of two injected numeric hallucinations, and stubbed pipeline tests prove retry and fallback.” Do not say: “The live model has a proven zero-percent hallucination rate.”</w:t>
      </w:r>
    </w:p>
    <w:p>
      <w:pPr>
        <w:pStyle w:val="Heading2"/>
      </w:pPr>
      <w:r>
        <w:t>Test pyramid in this repository</w:t>
      </w:r>
    </w:p>
    <w:p>
      <w:pPr>
        <w:numPr>
          <w:ilvl w:val="0"/>
          <w:numId w:val="51"/>
        </w:numPr>
        <w:spacing w:after="80" w:line="300" w:lineRule="auto"/>
      </w:pPr>
      <w:r>
        <w:t>Pure unit tests: returns, volatility, covariance, concentration, drawdown, score signals, numeric token grounding.</w:t>
      </w:r>
    </w:p>
    <w:p>
      <w:pPr>
        <w:numPr>
          <w:ilvl w:val="0"/>
          <w:numId w:val="51"/>
        </w:numPr>
        <w:spacing w:after="80" w:line="300" w:lineRule="auto"/>
      </w:pPr>
      <w:r>
        <w:t>Boundary test: AST scan proves risk_engine has no LLM imports.</w:t>
      </w:r>
    </w:p>
    <w:p>
      <w:pPr>
        <w:numPr>
          <w:ilvl w:val="0"/>
          <w:numId w:val="51"/>
        </w:numPr>
        <w:spacing w:after="80" w:line="300" w:lineRule="auto"/>
      </w:pPr>
      <w:r>
        <w:t>Service tests: FastAPI health, secret requirement, report contract, question-style checklist in demo mode.</w:t>
      </w:r>
    </w:p>
    <w:p>
      <w:pPr>
        <w:numPr>
          <w:ilvl w:val="0"/>
          <w:numId w:val="51"/>
        </w:numPr>
        <w:spacing w:after="80" w:line="300" w:lineRule="auto"/>
      </w:pPr>
      <w:r>
        <w:t>Pipeline tests: injected stub client covers first-pass success, regeneration success, repeated failure, refusal, timeout, and demo short-circuit.</w:t>
      </w:r>
    </w:p>
    <w:p>
      <w:pPr>
        <w:numPr>
          <w:ilvl w:val="0"/>
          <w:numId w:val="51"/>
        </w:numPr>
        <w:spacing w:after="80" w:line="300" w:lineRule="auto"/>
      </w:pPr>
      <w:r>
        <w:t>Missing today: browser E2E, deployed smoke test, live repeated-model eval, load test, security test, fixture-parity CI test.</w:t>
      </w:r>
    </w:p>
    <w:p>
      <w:r>
        <w:br w:type="page"/>
      </w:r>
    </w:p>
    <w:p>
      <w:pPr>
        <w:pStyle w:val="Heading1"/>
      </w:pPr>
      <w:r>
        <w:t>8. The eight files to know cold</w:t>
      </w:r>
    </w:p>
    <w:p>
      <w:pPr>
        <w:pStyle w:val="Lead"/>
      </w:pPr>
      <w:r>
        <w:t>Open these in order. Explain each file's input, output, invariant, and failure mode.</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250"/>
        <w:gridCol w:w="6110"/>
      </w:tblGrid>
      <w:tr>
        <w:trPr>
          <w:tblHeader w:val="true"/>
        </w:trPr>
        <w:tc>
          <w:tcPr>
            <w:tcW w:type="dxa" w:w="3250"/>
            <w:shd w:fill="E8EEF5"/>
            <w:vAlign w:val="center"/>
            <w:tcMar>
              <w:top w:w="80" w:type="dxa"/>
              <w:bottom w:w="80" w:type="dxa"/>
              <w:start w:w="120" w:type="dxa"/>
              <w:end w:w="120" w:type="dxa"/>
            </w:tcMar>
          </w:tcPr>
          <w:p>
            <w:pPr>
              <w:pStyle w:val="TableHeader"/>
            </w:pPr>
            <w:r>
              <w:t>File</w:t>
            </w:r>
          </w:p>
        </w:tc>
        <w:tc>
          <w:tcPr>
            <w:tcW w:type="dxa" w:w="6110"/>
            <w:shd w:fill="E8EEF5"/>
            <w:vAlign w:val="center"/>
            <w:tcMar>
              <w:top w:w="80" w:type="dxa"/>
              <w:bottom w:w="80" w:type="dxa"/>
              <w:start w:w="120" w:type="dxa"/>
              <w:end w:w="120" w:type="dxa"/>
            </w:tcMar>
          </w:tcPr>
          <w:p>
            <w:pPr>
              <w:pStyle w:val="TableHeader"/>
            </w:pPr>
            <w:r>
              <w:t>Know this</w:t>
            </w:r>
          </w:p>
        </w:tc>
      </w:tr>
      <w:tr>
        <w:tc>
          <w:tcPr>
            <w:tcW w:type="dxa" w:w="3250"/>
            <w:vAlign w:val="center"/>
            <w:tcMar>
              <w:top w:w="80" w:type="dxa"/>
              <w:bottom w:w="80" w:type="dxa"/>
              <w:start w:w="120" w:type="dxa"/>
              <w:end w:w="120" w:type="dxa"/>
            </w:tcMar>
          </w:tcPr>
          <w:p>
            <w:pPr>
              <w:pStyle w:val="TableText"/>
            </w:pPr>
            <w:r>
              <w:t>risk_engine/dataset.py</w:t>
            </w:r>
          </w:p>
        </w:tc>
        <w:tc>
          <w:tcPr>
            <w:tcW w:type="dxa" w:w="6110"/>
            <w:vAlign w:val="center"/>
            <w:tcMar>
              <w:top w:w="80" w:type="dxa"/>
              <w:bottom w:w="80" w:type="dxa"/>
              <w:start w:w="120" w:type="dxa"/>
              <w:end w:w="120" w:type="dxa"/>
            </w:tcMar>
          </w:tcPr>
          <w:p>
            <w:pPr>
              <w:pStyle w:val="TableText"/>
            </w:pPr>
            <w:r>
              <w:t>How seeded correlated GBM creates reproducible prices and why synthetic data was selected.</w:t>
            </w:r>
          </w:p>
        </w:tc>
      </w:tr>
      <w:tr>
        <w:tc>
          <w:tcPr>
            <w:tcW w:type="dxa" w:w="3250"/>
            <w:vAlign w:val="center"/>
            <w:tcMar>
              <w:top w:w="80" w:type="dxa"/>
              <w:bottom w:w="80" w:type="dxa"/>
              <w:start w:w="120" w:type="dxa"/>
              <w:end w:w="120" w:type="dxa"/>
            </w:tcMar>
          </w:tcPr>
          <w:p>
            <w:pPr>
              <w:pStyle w:val="TableText"/>
            </w:pPr>
            <w:r>
              <w:t>risk_engine/metrics.py</w:t>
            </w:r>
          </w:p>
        </w:tc>
        <w:tc>
          <w:tcPr>
            <w:tcW w:type="dxa" w:w="6110"/>
            <w:vAlign w:val="center"/>
            <w:tcMar>
              <w:top w:w="80" w:type="dxa"/>
              <w:bottom w:w="80" w:type="dxa"/>
              <w:start w:w="120" w:type="dxa"/>
              <w:end w:w="120" w:type="dxa"/>
            </w:tcMar>
          </w:tcPr>
          <w:p>
            <w:pPr>
              <w:pStyle w:val="TableText"/>
            </w:pPr>
            <w:r>
              <w:t>Sample standard deviation, covariance portfolio volatility, value weights, HHI, top-three concentration, max drawdown.</w:t>
            </w:r>
          </w:p>
        </w:tc>
      </w:tr>
      <w:tr>
        <w:tc>
          <w:tcPr>
            <w:tcW w:type="dxa" w:w="3250"/>
            <w:vAlign w:val="center"/>
            <w:tcMar>
              <w:top w:w="80" w:type="dxa"/>
              <w:bottom w:w="80" w:type="dxa"/>
              <w:start w:w="120" w:type="dxa"/>
              <w:end w:w="120" w:type="dxa"/>
            </w:tcMar>
          </w:tcPr>
          <w:p>
            <w:pPr>
              <w:pStyle w:val="TableText"/>
            </w:pPr>
            <w:r>
              <w:t>risk_engine/score.py</w:t>
            </w:r>
          </w:p>
        </w:tc>
        <w:tc>
          <w:tcPr>
            <w:tcW w:type="dxa" w:w="6110"/>
            <w:vAlign w:val="center"/>
            <w:tcMar>
              <w:top w:w="80" w:type="dxa"/>
              <w:bottom w:w="80" w:type="dxa"/>
              <w:start w:w="120" w:type="dxa"/>
              <w:end w:w="120" w:type="dxa"/>
            </w:tcMar>
          </w:tcPr>
          <w:p>
            <w:pPr>
              <w:pStyle w:val="TableText"/>
            </w:pPr>
            <w:r>
              <w:t>Product heuristic, weights, anchors, clamping, version, and bands.</w:t>
            </w:r>
          </w:p>
        </w:tc>
      </w:tr>
      <w:tr>
        <w:tc>
          <w:tcPr>
            <w:tcW w:type="dxa" w:w="3250"/>
            <w:vAlign w:val="center"/>
            <w:tcMar>
              <w:top w:w="80" w:type="dxa"/>
              <w:bottom w:w="80" w:type="dxa"/>
              <w:start w:w="120" w:type="dxa"/>
              <w:end w:w="120" w:type="dxa"/>
            </w:tcMar>
          </w:tcPr>
          <w:p>
            <w:pPr>
              <w:pStyle w:val="TableText"/>
            </w:pPr>
            <w:r>
              <w:t>schema.py</w:t>
            </w:r>
          </w:p>
        </w:tc>
        <w:tc>
          <w:tcPr>
            <w:tcW w:type="dxa" w:w="6110"/>
            <w:vAlign w:val="center"/>
            <w:tcMar>
              <w:top w:w="80" w:type="dxa"/>
              <w:bottom w:w="80" w:type="dxa"/>
              <w:start w:w="120" w:type="dxa"/>
              <w:end w:w="120" w:type="dxa"/>
            </w:tcMar>
          </w:tcPr>
          <w:p>
            <w:pPr>
              <w:pStyle w:val="TableText"/>
            </w:pPr>
            <w:r>
              <w:t>RiskFacts as single source of numeric truth; RiskExplanation and source enum; RiskReport contract.</w:t>
            </w:r>
          </w:p>
        </w:tc>
      </w:tr>
      <w:tr>
        <w:tc>
          <w:tcPr>
            <w:tcW w:type="dxa" w:w="3250"/>
            <w:vAlign w:val="center"/>
            <w:tcMar>
              <w:top w:w="80" w:type="dxa"/>
              <w:bottom w:w="80" w:type="dxa"/>
              <w:start w:w="120" w:type="dxa"/>
              <w:end w:w="120" w:type="dxa"/>
            </w:tcMar>
          </w:tcPr>
          <w:p>
            <w:pPr>
              <w:pStyle w:val="TableText"/>
            </w:pPr>
            <w:r>
              <w:t>llm/number_guardrail.py</w:t>
            </w:r>
          </w:p>
        </w:tc>
        <w:tc>
          <w:tcPr>
            <w:tcW w:type="dxa" w:w="6110"/>
            <w:vAlign w:val="center"/>
            <w:tcMar>
              <w:top w:w="80" w:type="dxa"/>
              <w:bottom w:w="80" w:type="dxa"/>
              <w:start w:w="120" w:type="dxa"/>
              <w:end w:w="120" w:type="dxa"/>
            </w:tcMar>
          </w:tcPr>
          <w:p>
            <w:pPr>
              <w:pStyle w:val="TableText"/>
            </w:pPr>
            <w:r>
              <w:t>Token extraction, allow-set, safe constants, epsilon, and known semantic limitations.</w:t>
            </w:r>
          </w:p>
        </w:tc>
      </w:tr>
      <w:tr>
        <w:tc>
          <w:tcPr>
            <w:tcW w:type="dxa" w:w="3250"/>
            <w:vAlign w:val="center"/>
            <w:tcMar>
              <w:top w:w="80" w:type="dxa"/>
              <w:bottom w:w="80" w:type="dxa"/>
              <w:start w:w="120" w:type="dxa"/>
              <w:end w:w="120" w:type="dxa"/>
            </w:tcMar>
          </w:tcPr>
          <w:p>
            <w:pPr>
              <w:pStyle w:val="TableText"/>
            </w:pPr>
            <w:r>
              <w:t>llm/explain.py</w:t>
            </w:r>
          </w:p>
        </w:tc>
        <w:tc>
          <w:tcPr>
            <w:tcW w:type="dxa" w:w="6110"/>
            <w:vAlign w:val="center"/>
            <w:tcMar>
              <w:top w:w="80" w:type="dxa"/>
              <w:bottom w:w="80" w:type="dxa"/>
              <w:start w:w="120" w:type="dxa"/>
              <w:end w:w="120" w:type="dxa"/>
            </w:tcMar>
          </w:tcPr>
          <w:p>
            <w:pPr>
              <w:pStyle w:val="TableText"/>
            </w:pPr>
            <w:r>
              <w:t>Demo short-circuit; model → validate → retry once → template fallback; source labeling.</w:t>
            </w:r>
          </w:p>
        </w:tc>
      </w:tr>
      <w:tr>
        <w:tc>
          <w:tcPr>
            <w:tcW w:type="dxa" w:w="3250"/>
            <w:vAlign w:val="center"/>
            <w:tcMar>
              <w:top w:w="80" w:type="dxa"/>
              <w:bottom w:w="80" w:type="dxa"/>
              <w:start w:w="120" w:type="dxa"/>
              <w:end w:w="120" w:type="dxa"/>
            </w:tcMar>
          </w:tcPr>
          <w:p>
            <w:pPr>
              <w:pStyle w:val="TableText"/>
            </w:pPr>
            <w:r>
              <w:t>main.py + report.py</w:t>
            </w:r>
          </w:p>
        </w:tc>
        <w:tc>
          <w:tcPr>
            <w:tcW w:type="dxa" w:w="6110"/>
            <w:vAlign w:val="center"/>
            <w:tcMar>
              <w:top w:w="80" w:type="dxa"/>
              <w:bottom w:w="80" w:type="dxa"/>
              <w:start w:w="120" w:type="dxa"/>
              <w:end w:w="120" w:type="dxa"/>
            </w:tcMar>
          </w:tcPr>
          <w:p>
            <w:pPr>
              <w:pStyle w:val="TableText"/>
            </w:pPr>
            <w:r>
              <w:t>Secret dependency, endpoint behavior, configuration, and assembly boundary.</w:t>
            </w:r>
          </w:p>
        </w:tc>
      </w:tr>
      <w:tr>
        <w:tc>
          <w:tcPr>
            <w:tcW w:type="dxa" w:w="3250"/>
            <w:vAlign w:val="center"/>
            <w:tcMar>
              <w:top w:w="80" w:type="dxa"/>
              <w:bottom w:w="80" w:type="dxa"/>
              <w:start w:w="120" w:type="dxa"/>
              <w:end w:w="120" w:type="dxa"/>
            </w:tcMar>
          </w:tcPr>
          <w:p>
            <w:pPr>
              <w:pStyle w:val="TableText"/>
            </w:pPr>
            <w:r>
              <w:t>frontend/lib/backend.ts + app/page.tsx</w:t>
            </w:r>
          </w:p>
        </w:tc>
        <w:tc>
          <w:tcPr>
            <w:tcW w:type="dxa" w:w="6110"/>
            <w:vAlign w:val="center"/>
            <w:tcMar>
              <w:top w:w="80" w:type="dxa"/>
              <w:bottom w:w="80" w:type="dxa"/>
              <w:start w:w="120" w:type="dxa"/>
              <w:end w:w="120" w:type="dxa"/>
            </w:tcMar>
          </w:tcPr>
          <w:p>
            <w:pPr>
              <w:pStyle w:val="TableText"/>
            </w:pPr>
            <w:r>
              <w:t>Server-only fetch, timeout, fixture fallback, server rendering, and information hierarchy.</w:t>
            </w:r>
          </w:p>
        </w:tc>
      </w:tr>
    </w:tbl>
    <w:p>
      <w:pPr>
        <w:spacing w:after="40"/>
      </w:pPr>
    </w:p>
    <w:p>
      <w:pPr>
        <w:pStyle w:val="Heading2"/>
      </w:pPr>
      <w:r>
        <w:t>Whiteboard drill</w:t>
      </w:r>
    </w:p>
    <w:p>
      <w:pPr>
        <w:numPr>
          <w:ilvl w:val="0"/>
          <w:numId w:val="52"/>
        </w:numPr>
        <w:spacing w:after="80" w:line="300" w:lineRule="auto"/>
      </w:pPr>
      <w:r>
        <w:t>Draw Browser, Next.js, FastAPI, risk_engine, LLM, guardrail, and fixture fallback.</w:t>
      </w:r>
    </w:p>
    <w:p>
      <w:pPr>
        <w:numPr>
          <w:ilvl w:val="0"/>
          <w:numId w:val="52"/>
        </w:numPr>
        <w:spacing w:after="80" w:line="300" w:lineRule="auto"/>
      </w:pPr>
      <w:r>
        <w:t>Mark public versus private boundaries and where each secret lives.</w:t>
      </w:r>
    </w:p>
    <w:p>
      <w:pPr>
        <w:numPr>
          <w:ilvl w:val="0"/>
          <w:numId w:val="52"/>
        </w:numPr>
        <w:spacing w:after="80" w:line="300" w:lineRule="auto"/>
      </w:pPr>
      <w:r>
        <w:t>Draw the fact object once, then show it feeding prompt, validator, and response.</w:t>
      </w:r>
    </w:p>
    <w:p>
      <w:pPr>
        <w:numPr>
          <w:ilvl w:val="0"/>
          <w:numId w:val="52"/>
        </w:numPr>
        <w:spacing w:after="80" w:line="300" w:lineRule="auto"/>
      </w:pPr>
      <w:r>
        <w:t>Show two failure branches: model failure to template; backend failure to committed fixture.</w:t>
      </w:r>
    </w:p>
    <w:p>
      <w:pPr>
        <w:numPr>
          <w:ilvl w:val="0"/>
          <w:numId w:val="52"/>
        </w:numPr>
        <w:spacing w:after="80" w:line="300" w:lineRule="auto"/>
      </w:pPr>
      <w:r>
        <w:t>Write the portfolio-volatility and risk-score formulas below the diagram.</w:t>
      </w:r>
    </w:p>
    <w:p>
      <w:pPr>
        <w:numPr>
          <w:ilvl w:val="0"/>
          <w:numId w:val="52"/>
        </w:numPr>
        <w:spacing w:after="80" w:line="300" w:lineRule="auto"/>
      </w:pPr>
      <w:r>
        <w:t>Circle limitations: numeric-only validation, fixture staleness, no real-user inputs, no live statistical eval.</w:t>
      </w:r>
    </w:p>
    <w:p>
      <w:r>
        <w:br w:type="page"/>
      </w:r>
    </w:p>
    <w:p>
      <w:pPr>
        <w:pStyle w:val="Heading1"/>
      </w:pPr>
      <w:r>
        <w:t>9. Interview answer scripts</w:t>
      </w:r>
    </w:p>
    <w:p>
      <w:pPr>
        <w:pStyle w:val="Heading2"/>
      </w:pPr>
      <w:r>
        <w:t>30-second pitch</w:t>
      </w:r>
    </w:p>
    <w:p>
      <w:pPr>
        <w:pStyle w:val="Callout"/>
        <w:ind w:left="173" w:right="115"/>
        <w:shd w:fill="F4F6F9"/>
        <w:pBdr>
          <w:left w:val="single" w:sz="16" w:space="6" w:color="2E74B5"/>
        </w:pBdr>
      </w:pPr>
      <w:r>
        <w:rPr>
          <w:rFonts w:ascii="Calibri" w:hAnsi="Calibri"/>
          <w:b/>
          <w:color w:val="2E74B5"/>
        </w:rPr>
        <w:t xml:space="preserve">Say: </w:t>
      </w:r>
      <w:r>
        <w:t>I built RiskPilot AI, a full-stack portfolio risk demo that separates deterministic financial computation from language-model explanation. Python and NumPy compute every figure, Pydantic defines the facts, and a custom validator rejects any number in model prose that cannot be traced to those facts. The pipeline retries once and then fails closed to deterministic text, while Next.js keeps the public demo available through a committed fallback report.</w:t>
      </w:r>
    </w:p>
    <w:p>
      <w:pPr>
        <w:pStyle w:val="Heading2"/>
      </w:pPr>
      <w:r>
        <w:t>90-second architecture answer</w:t>
      </w:r>
    </w:p>
    <w:p>
      <w:r>
        <w:t>The browser only talks to a Next.js origin. The home page is a Server Component, so it can call a private FastAPI service without exposing the backend URL or shared secret. FastAPI computes a sample report from a committed, seeded price dataset. The risk engine calculates value weights, covariance-based annualized volatility, top-three concentration, historical max drawdown, and a versioned composite score. Those values become a Pydantic RiskFacts object, which is the single source of truth for both the model prompt and the validator. In live mode, OpenAI returns a typed draft. I scan every prose field for numeric tokens, accept only grounded renderings or controlled rounding, regenerate once on violation, and then use a deterministic template if it still fails. The response records its explanation source. If the Python service is unavailable, Next.js returns a committed snapshot so the recruiter-facing page still loads.</w:t>
      </w:r>
    </w:p>
    <w:p>
      <w:pPr>
        <w:pStyle w:val="Heading2"/>
      </w:pPr>
      <w:r>
        <w:t>Two-minute guardrail deep dive</w:t>
      </w:r>
    </w:p>
    <w:p>
      <w:r>
        <w:t>Structured Outputs guarantees fields and types, but not truth inside strings. My validator builds an allow-set from the engine's numeric facts using raw and rounded representations. It extracts numbers from summary, risk factors, and checklist text, normalizes currency, commas, signs, and percentages, then checks exact matches, permitted counts, and a one-percent relative epsilon. A violation triggers exactly one regeneration with the bad tokens named. A second violation or API error returns deterministic template prose constructed from the same facts. The current validator is intentionally narrow: it validates numeric grounding, not all semantics. For production I would replace broad safe-number allow-lists with context-aware rules and validate claim-to-field relationships.</w:t>
      </w:r>
    </w:p>
    <w:p>
      <w:pPr>
        <w:pStyle w:val="Heading2"/>
      </w:pPr>
      <w:r>
        <w:t>Behavioral STAR version</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100"/>
        <w:gridCol w:w="8260"/>
      </w:tblGrid>
      <w:tr>
        <w:trPr>
          <w:tblHeader w:val="true"/>
        </w:trPr>
        <w:tc>
          <w:tcPr>
            <w:tcW w:type="dxa" w:w="1100"/>
            <w:shd w:fill="E8EEF5"/>
            <w:vAlign w:val="center"/>
            <w:tcMar>
              <w:top w:w="80" w:type="dxa"/>
              <w:bottom w:w="80" w:type="dxa"/>
              <w:start w:w="120" w:type="dxa"/>
              <w:end w:w="120" w:type="dxa"/>
            </w:tcMar>
          </w:tcPr>
          <w:p>
            <w:pPr>
              <w:pStyle w:val="TableHeader"/>
            </w:pPr>
            <w:r>
              <w:t>STAR</w:t>
            </w:r>
          </w:p>
        </w:tc>
        <w:tc>
          <w:tcPr>
            <w:tcW w:type="dxa" w:w="8260"/>
            <w:shd w:fill="E8EEF5"/>
            <w:vAlign w:val="center"/>
            <w:tcMar>
              <w:top w:w="80" w:type="dxa"/>
              <w:bottom w:w="80" w:type="dxa"/>
              <w:start w:w="120" w:type="dxa"/>
              <w:end w:w="120" w:type="dxa"/>
            </w:tcMar>
          </w:tcPr>
          <w:p>
            <w:pPr>
              <w:pStyle w:val="TableHeader"/>
            </w:pPr>
            <w:r>
              <w:t>Answer</w:t>
            </w:r>
          </w:p>
        </w:tc>
      </w:tr>
      <w:tr>
        <w:tc>
          <w:tcPr>
            <w:tcW w:type="dxa" w:w="1100"/>
            <w:vAlign w:val="center"/>
            <w:tcMar>
              <w:top w:w="80" w:type="dxa"/>
              <w:bottom w:w="80" w:type="dxa"/>
              <w:start w:w="120" w:type="dxa"/>
              <w:end w:w="120" w:type="dxa"/>
            </w:tcMar>
          </w:tcPr>
          <w:p>
            <w:pPr>
              <w:pStyle w:val="TableText"/>
            </w:pPr>
            <w:r>
              <w:t>Situation</w:t>
            </w:r>
          </w:p>
        </w:tc>
        <w:tc>
          <w:tcPr>
            <w:tcW w:type="dxa" w:w="8260"/>
            <w:vAlign w:val="center"/>
            <w:tcMar>
              <w:top w:w="80" w:type="dxa"/>
              <w:bottom w:w="80" w:type="dxa"/>
              <w:start w:w="120" w:type="dxa"/>
              <w:end w:w="120" w:type="dxa"/>
            </w:tcMar>
          </w:tcPr>
          <w:p>
            <w:pPr>
              <w:pStyle w:val="TableText"/>
            </w:pPr>
            <w:r>
              <w:t>A broad AI-finance idea risked becoming an unfinished collection of auth, RAG, simulation, and database features.</w:t>
            </w:r>
          </w:p>
        </w:tc>
      </w:tr>
      <w:tr>
        <w:tc>
          <w:tcPr>
            <w:tcW w:type="dxa" w:w="1100"/>
            <w:vAlign w:val="center"/>
            <w:tcMar>
              <w:top w:w="80" w:type="dxa"/>
              <w:bottom w:w="80" w:type="dxa"/>
              <w:start w:w="120" w:type="dxa"/>
              <w:end w:w="120" w:type="dxa"/>
            </w:tcMar>
          </w:tcPr>
          <w:p>
            <w:pPr>
              <w:pStyle w:val="TableText"/>
            </w:pPr>
            <w:r>
              <w:t>Task</w:t>
            </w:r>
          </w:p>
        </w:tc>
        <w:tc>
          <w:tcPr>
            <w:tcW w:type="dxa" w:w="8260"/>
            <w:vAlign w:val="center"/>
            <w:tcMar>
              <w:top w:w="80" w:type="dxa"/>
              <w:bottom w:w="80" w:type="dxa"/>
              <w:start w:w="120" w:type="dxa"/>
              <w:end w:w="120" w:type="dxa"/>
            </w:tcMar>
          </w:tcPr>
          <w:p>
            <w:pPr>
              <w:pStyle w:val="TableText"/>
            </w:pPr>
            <w:r>
              <w:t>Ship one credible, deployed artifact that demonstrated both full-stack ability and model-risk control.</w:t>
            </w:r>
          </w:p>
        </w:tc>
      </w:tr>
      <w:tr>
        <w:tc>
          <w:tcPr>
            <w:tcW w:type="dxa" w:w="1100"/>
            <w:vAlign w:val="center"/>
            <w:tcMar>
              <w:top w:w="80" w:type="dxa"/>
              <w:bottom w:w="80" w:type="dxa"/>
              <w:start w:w="120" w:type="dxa"/>
              <w:end w:w="120" w:type="dxa"/>
            </w:tcMar>
          </w:tcPr>
          <w:p>
            <w:pPr>
              <w:pStyle w:val="TableText"/>
            </w:pPr>
            <w:r>
              <w:t>Action</w:t>
            </w:r>
          </w:p>
        </w:tc>
        <w:tc>
          <w:tcPr>
            <w:tcW w:type="dxa" w:w="8260"/>
            <w:vAlign w:val="center"/>
            <w:tcMar>
              <w:top w:w="80" w:type="dxa"/>
              <w:bottom w:w="80" w:type="dxa"/>
              <w:start w:w="120" w:type="dxa"/>
              <w:end w:w="120" w:type="dxa"/>
            </w:tcMar>
          </w:tcPr>
          <w:p>
            <w:pPr>
              <w:pStyle w:val="TableText"/>
            </w:pPr>
            <w:r>
              <w:t>Cut v1 to a read-only X-Ray and explanation, removed unnecessary Postgres, encoded deterministic/LLM separation in folders and tests, built a numeric guardrail and no-key fallback, and added CI plus reproducible data.</w:t>
            </w:r>
          </w:p>
        </w:tc>
      </w:tr>
      <w:tr>
        <w:tc>
          <w:tcPr>
            <w:tcW w:type="dxa" w:w="1100"/>
            <w:vAlign w:val="center"/>
            <w:tcMar>
              <w:top w:w="80" w:type="dxa"/>
              <w:bottom w:w="80" w:type="dxa"/>
              <w:start w:w="120" w:type="dxa"/>
              <w:end w:w="120" w:type="dxa"/>
            </w:tcMar>
          </w:tcPr>
          <w:p>
            <w:pPr>
              <w:pStyle w:val="TableText"/>
            </w:pPr>
            <w:r>
              <w:t>Result</w:t>
            </w:r>
          </w:p>
        </w:tc>
        <w:tc>
          <w:tcPr>
            <w:tcW w:type="dxa" w:w="8260"/>
            <w:vAlign w:val="center"/>
            <w:tcMar>
              <w:top w:w="80" w:type="dxa"/>
              <w:bottom w:w="80" w:type="dxa"/>
              <w:start w:w="120" w:type="dxa"/>
              <w:end w:w="120" w:type="dxa"/>
            </w:tcMar>
          </w:tcPr>
          <w:p>
            <w:pPr>
              <w:pStyle w:val="TableText"/>
            </w:pPr>
            <w:r>
              <w:t>The current project builds, passes 39 backend tests, catches both injected hallucinations in its small fixture eval, and keeps the public dashboard available without a live model or backend.</w:t>
            </w:r>
          </w:p>
        </w:tc>
      </w:tr>
    </w:tbl>
    <w:p>
      <w:pPr>
        <w:spacing w:after="40"/>
      </w:pPr>
    </w:p>
    <w:p>
      <w:pPr>
        <w:pStyle w:val="Heading2"/>
      </w:pPr>
      <w:r>
        <w:t>If asked: ‘What are you most proud of?’</w:t>
      </w:r>
    </w:p>
    <w:p>
      <w:r>
        <w:t>The safety property is executable. The folder boundary is enforced by an import test, model prose is validated by a pure function, retry count is bounded, and the source label exposes whether the user saw model output or fallback text. I would emphasize that the project turns architectural claims into tests.</w:t>
      </w:r>
    </w:p>
    <w:p>
      <w:pPr>
        <w:pStyle w:val="Heading2"/>
      </w:pPr>
      <w:r>
        <w:t>If asked: ‘What would you change?’</w:t>
      </w:r>
    </w:p>
    <w:p>
      <w:r>
        <w:t>First, make validation contextual: tie each number to a named fact and enforce compliance language. Second, replace the fixture-only eval with repeated live-model evaluation and committed results. Third, add observability and a real cache or remove misleading cache language. After that, generate TypeScript types from OpenAPI and add browser E2E tests.</w:t>
      </w:r>
    </w:p>
    <w:p>
      <w:r>
        <w:br w:type="page"/>
      </w:r>
    </w:p>
    <w:p>
      <w:pPr>
        <w:pStyle w:val="Heading1"/>
      </w:pPr>
      <w:r>
        <w:t>10. Technical question bank</w:t>
      </w:r>
    </w:p>
    <w:p>
      <w:pPr>
        <w:pStyle w:val="Lead"/>
      </w:pPr>
      <w:r>
        <w:t>Practice answering aloud in 45–90 seconds. Lead with the decision, then evidence, tradeoff, and next improvement.</w:t>
      </w:r>
    </w:p>
    <w:p>
      <w:pPr>
        <w:pStyle w:val="Question"/>
        <w:keepNext/>
      </w:pPr>
      <w:r>
        <w:t>1. What problem does RiskPilot solve?</w:t>
      </w:r>
    </w:p>
    <w:p>
      <w:pPr>
        <w:pStyle w:val="Answer"/>
      </w:pPr>
      <w:r>
        <w:rPr>
          <w:rFonts w:ascii="Calibri" w:hAnsi="Calibri"/>
          <w:b/>
          <w:color w:val="1E2830"/>
        </w:rPr>
        <w:t xml:space="preserve">Strong answer — </w:t>
      </w:r>
      <w:r>
        <w:t>It teaches portfolio risk through computed metrics and guarded explanations. The engineering problem is trustworthy model-assisted presentation: deterministic code owns numbers, while the model only converts facts into accessible prose.</w:t>
      </w:r>
    </w:p>
    <w:p>
      <w:pPr>
        <w:pStyle w:val="SmallNote"/>
      </w:pPr>
      <w:r>
        <w:rPr>
          <w:rFonts w:ascii="Calibri" w:hAnsi="Calibri"/>
          <w:b/>
          <w:color w:val="5B6570"/>
        </w:rPr>
        <w:t xml:space="preserve">Likely follow-up: </w:t>
      </w:r>
      <w:r>
        <w:t>Why is finance only the demonstration domain?</w:t>
      </w:r>
    </w:p>
    <w:p>
      <w:pPr>
        <w:pStyle w:val="Question"/>
        <w:keepNext/>
      </w:pPr>
      <w:r>
        <w:t>2. Why separate risk_engine from llm?</w:t>
      </w:r>
    </w:p>
    <w:p>
      <w:pPr>
        <w:pStyle w:val="Answer"/>
      </w:pPr>
      <w:r>
        <w:rPr>
          <w:rFonts w:ascii="Calibri" w:hAnsi="Calibri"/>
          <w:b/>
          <w:color w:val="1E2830"/>
        </w:rPr>
        <w:t xml:space="preserve">Strong answer — </w:t>
      </w:r>
      <w:r>
        <w:t>It creates a hard ownership boundary. Financial calculations remain deterministic, testable, and reproducible; model changes cannot alter portfolio facts. An AST test enforces the import direction.</w:t>
      </w:r>
    </w:p>
    <w:p>
      <w:pPr>
        <w:pStyle w:val="SmallNote"/>
      </w:pPr>
      <w:r>
        <w:rPr>
          <w:rFonts w:ascii="Calibri" w:hAnsi="Calibri"/>
          <w:b/>
          <w:color w:val="5B6570"/>
        </w:rPr>
        <w:t xml:space="preserve">Likely follow-up: </w:t>
      </w:r>
      <w:r>
        <w:t>Would a package boundary be enough in a larger system?</w:t>
      </w:r>
    </w:p>
    <w:p>
      <w:pPr>
        <w:pStyle w:val="Question"/>
        <w:keepNext/>
      </w:pPr>
      <w:r>
        <w:t>3. What is the single source of truth?</w:t>
      </w:r>
    </w:p>
    <w:p>
      <w:pPr>
        <w:pStyle w:val="Answer"/>
      </w:pPr>
      <w:r>
        <w:rPr>
          <w:rFonts w:ascii="Calibri" w:hAnsi="Calibri"/>
          <w:b/>
          <w:color w:val="1E2830"/>
        </w:rPr>
        <w:t xml:space="preserve">Strong answer — </w:t>
      </w:r>
      <w:r>
        <w:t>The RiskFacts Pydantic instance produced by the engine. The same object drives the prompt, numeric validation, API response, and deterministic fallback, preventing prompt-validator drift.</w:t>
      </w:r>
    </w:p>
    <w:p>
      <w:pPr>
        <w:pStyle w:val="SmallNote"/>
      </w:pPr>
      <w:r>
        <w:rPr>
          <w:rFonts w:ascii="Calibri" w:hAnsi="Calibri"/>
          <w:b/>
          <w:color w:val="5B6570"/>
        </w:rPr>
        <w:t xml:space="preserve">Likely follow-up: </w:t>
      </w:r>
      <w:r>
        <w:t>How would you prevent mutation?</w:t>
      </w:r>
    </w:p>
    <w:p>
      <w:pPr>
        <w:pStyle w:val="Question"/>
        <w:keepNext/>
      </w:pPr>
      <w:r>
        <w:t>4. Why FastAPI instead of implementing everything in Next.js?</w:t>
      </w:r>
    </w:p>
    <w:p>
      <w:pPr>
        <w:pStyle w:val="Answer"/>
      </w:pPr>
      <w:r>
        <w:rPr>
          <w:rFonts w:ascii="Calibri" w:hAnsi="Calibri"/>
          <w:b/>
          <w:color w:val="1E2830"/>
        </w:rPr>
        <w:t xml:space="preserve">Strong answer — </w:t>
      </w:r>
      <w:r>
        <w:t>The risk math already benefits from Python and NumPy, and FastAPI exposes typed Pydantic contracts with little glue. The cost is a second deployable service; a pure TypeScript stack would simplify operations if Python-specific computation were not important.</w:t>
      </w:r>
    </w:p>
    <w:p>
      <w:pPr>
        <w:pStyle w:val="SmallNote"/>
      </w:pPr>
      <w:r>
        <w:rPr>
          <w:rFonts w:ascii="Calibri" w:hAnsi="Calibri"/>
          <w:b/>
          <w:color w:val="5B6570"/>
        </w:rPr>
        <w:t xml:space="preserve">Likely follow-up: </w:t>
      </w:r>
      <w:r>
        <w:t>How would you handle network latency?</w:t>
      </w:r>
    </w:p>
    <w:p>
      <w:pPr>
        <w:pStyle w:val="Question"/>
        <w:keepNext/>
      </w:pPr>
      <w:r>
        <w:t>5. Why a Server Component?</w:t>
      </w:r>
    </w:p>
    <w:p>
      <w:pPr>
        <w:pStyle w:val="Answer"/>
      </w:pPr>
      <w:r>
        <w:rPr>
          <w:rFonts w:ascii="Calibri" w:hAnsi="Calibri"/>
          <w:b/>
          <w:color w:val="1E2830"/>
        </w:rPr>
        <w:t xml:space="preserve">Strong answer — </w:t>
      </w:r>
      <w:r>
        <w:t>It keeps backend URL and secret on the server, renders useful HTML immediately, and avoids a browser-to-Python CORS surface. It still requires service authentication and safe error handling.</w:t>
      </w:r>
    </w:p>
    <w:p>
      <w:pPr>
        <w:pStyle w:val="SmallNote"/>
      </w:pPr>
      <w:r>
        <w:rPr>
          <w:rFonts w:ascii="Calibri" w:hAnsi="Calibri"/>
          <w:b/>
          <w:color w:val="5B6570"/>
        </w:rPr>
        <w:t xml:space="preserve">Likely follow-up: </w:t>
      </w:r>
      <w:r>
        <w:t>When would you use a Client Component?</w:t>
      </w:r>
    </w:p>
    <w:p>
      <w:pPr>
        <w:pStyle w:val="Question"/>
        <w:keepNext/>
      </w:pPr>
      <w:r>
        <w:t>6. Why no CORS configuration?</w:t>
      </w:r>
    </w:p>
    <w:p>
      <w:pPr>
        <w:pStyle w:val="Answer"/>
      </w:pPr>
      <w:r>
        <w:rPr>
          <w:rFonts w:ascii="Calibri" w:hAnsi="Calibri"/>
          <w:b/>
          <w:color w:val="1E2830"/>
        </w:rPr>
        <w:t xml:space="preserve">Strong answer — </w:t>
      </w:r>
      <w:r>
        <w:t>The intended browser path is only to Next.js. Next.js performs the private server-to-server request, so the browser never needs permission to call FastAPI directly.</w:t>
      </w:r>
    </w:p>
    <w:p>
      <w:pPr>
        <w:pStyle w:val="SmallNote"/>
      </w:pPr>
      <w:r>
        <w:rPr>
          <w:rFonts w:ascii="Calibri" w:hAnsi="Calibri"/>
          <w:b/>
          <w:color w:val="5B6570"/>
        </w:rPr>
        <w:t xml:space="preserve">Likely follow-up: </w:t>
      </w:r>
      <w:r>
        <w:t>What changes if FastAPI becomes public?</w:t>
      </w:r>
    </w:p>
    <w:p>
      <w:pPr>
        <w:pStyle w:val="Question"/>
        <w:keepNext/>
      </w:pPr>
      <w:r>
        <w:t>7. How is portfolio volatility computed?</w:t>
      </w:r>
    </w:p>
    <w:p>
      <w:pPr>
        <w:pStyle w:val="Answer"/>
      </w:pPr>
      <w:r>
        <w:rPr>
          <w:rFonts w:ascii="Calibri" w:hAnsi="Calibri"/>
          <w:b/>
          <w:color w:val="1E2830"/>
        </w:rPr>
        <w:t xml:space="preserve">Strong answer — </w:t>
      </w:r>
      <w:r>
        <w:t>Daily asset returns form a matrix. NumPy computes the sample covariance matrix, current value weights form vector w, and annualized volatility is the square root of w transpose times covariance times w times 252.</w:t>
      </w:r>
    </w:p>
    <w:p>
      <w:pPr>
        <w:pStyle w:val="SmallNote"/>
      </w:pPr>
      <w:r>
        <w:rPr>
          <w:rFonts w:ascii="Calibri" w:hAnsi="Calibri"/>
          <w:b/>
          <w:color w:val="5B6570"/>
        </w:rPr>
        <w:t xml:space="preserve">Likely follow-up: </w:t>
      </w:r>
      <w:r>
        <w:t>Why is a weighted average wrong?</w:t>
      </w:r>
    </w:p>
    <w:p>
      <w:pPr>
        <w:pStyle w:val="Question"/>
        <w:keepNext/>
      </w:pPr>
      <w:r>
        <w:t>8. Why ddof=1?</w:t>
      </w:r>
    </w:p>
    <w:p>
      <w:pPr>
        <w:pStyle w:val="Answer"/>
      </w:pPr>
      <w:r>
        <w:rPr>
          <w:rFonts w:ascii="Calibri" w:hAnsi="Calibri"/>
          <w:b/>
          <w:color w:val="1E2830"/>
        </w:rPr>
        <w:t xml:space="preserve">Strong answer — </w:t>
      </w:r>
      <w:r>
        <w:t>The observed returns are treated as a sample, so sample variance divides by n−1. NumPy defaults to population variance; setting ddof=1 makes the statistical assumption explicit and is tested against the alternative.</w:t>
      </w:r>
    </w:p>
    <w:p>
      <w:pPr>
        <w:pStyle w:val="SmallNote"/>
      </w:pPr>
      <w:r>
        <w:rPr>
          <w:rFonts w:ascii="Calibri" w:hAnsi="Calibri"/>
          <w:b/>
          <w:color w:val="5B6570"/>
        </w:rPr>
        <w:t xml:space="preserve">Likely follow-up: </w:t>
      </w:r>
      <w:r>
        <w:t>Does this choice matter with large n?</w:t>
      </w:r>
    </w:p>
    <w:p>
      <w:pPr>
        <w:pStyle w:val="Question"/>
        <w:keepNext/>
      </w:pPr>
      <w:r>
        <w:t>9. Why top-three concentration instead of HHI in the score?</w:t>
      </w:r>
    </w:p>
    <w:p>
      <w:pPr>
        <w:pStyle w:val="Answer"/>
      </w:pPr>
      <w:r>
        <w:rPr>
          <w:rFonts w:ascii="Calibri" w:hAnsi="Calibri"/>
          <w:b/>
          <w:color w:val="1E2830"/>
        </w:rPr>
        <w:t xml:space="preserve">Strong answer — </w:t>
      </w:r>
      <w:r>
        <w:t>Top-three share is easier for users to interpret and aligns the score with the number displayed in the UI. HHI remains implemented and tested, but the product chose a concentration-led heuristic rather than presenting an academic index without explanation.</w:t>
      </w:r>
    </w:p>
    <w:p>
      <w:pPr>
        <w:pStyle w:val="SmallNote"/>
      </w:pPr>
      <w:r>
        <w:rPr>
          <w:rFonts w:ascii="Calibri" w:hAnsi="Calibri"/>
          <w:b/>
          <w:color w:val="5B6570"/>
        </w:rPr>
        <w:t xml:space="preserve">Likely follow-up: </w:t>
      </w:r>
      <w:r>
        <w:t>What behavior does HHI capture better?</w:t>
      </w:r>
    </w:p>
    <w:p>
      <w:pPr>
        <w:pStyle w:val="Question"/>
        <w:keepNext/>
      </w:pPr>
      <w:r>
        <w:t>10. What is max drawdown?</w:t>
      </w:r>
    </w:p>
    <w:p>
      <w:pPr>
        <w:pStyle w:val="Answer"/>
      </w:pPr>
      <w:r>
        <w:rPr>
          <w:rFonts w:ascii="Calibri" w:hAnsi="Calibri"/>
          <w:b/>
          <w:color w:val="1E2830"/>
        </w:rPr>
        <w:t xml:space="preserve">Strong answer — </w:t>
      </w:r>
      <w:r>
        <w:t>The worst peak-to-trough decline in the historical portfolio value series. The implementation tracks the running maximum and finds the minimum percentage decline from that peak.</w:t>
      </w:r>
    </w:p>
    <w:p>
      <w:pPr>
        <w:pStyle w:val="SmallNote"/>
      </w:pPr>
      <w:r>
        <w:rPr>
          <w:rFonts w:ascii="Calibri" w:hAnsi="Calibri"/>
          <w:b/>
          <w:color w:val="5B6570"/>
        </w:rPr>
        <w:t xml:space="preserve">Likely follow-up: </w:t>
      </w:r>
      <w:r>
        <w:t>Why not compute it on daily returns?</w:t>
      </w:r>
    </w:p>
    <w:p>
      <w:pPr>
        <w:pStyle w:val="Question"/>
        <w:keepNext/>
      </w:pPr>
      <w:r>
        <w:t>11. Is the risk score a standard financial metric?</w:t>
      </w:r>
    </w:p>
    <w:p>
      <w:pPr>
        <w:pStyle w:val="Answer"/>
      </w:pPr>
      <w:r>
        <w:rPr>
          <w:rFonts w:ascii="Calibri" w:hAnsi="Calibri"/>
          <w:b/>
          <w:color w:val="1E2830"/>
        </w:rPr>
        <w:t xml:space="preserve">Strong answer — </w:t>
      </w:r>
      <w:r>
        <w:t>No. It is a versioned product heuristic combining concentration, volatility, and drawdown signals. The code documents weights and anchors, clamps the result, and tests bounds and monotonicity so users are not misled about its nature.</w:t>
      </w:r>
    </w:p>
    <w:p>
      <w:pPr>
        <w:pStyle w:val="SmallNote"/>
      </w:pPr>
      <w:r>
        <w:rPr>
          <w:rFonts w:ascii="Calibri" w:hAnsi="Calibri"/>
          <w:b/>
          <w:color w:val="5B6570"/>
        </w:rPr>
        <w:t xml:space="preserve">Likely follow-up: </w:t>
      </w:r>
      <w:r>
        <w:t>How would you validate the weights?</w:t>
      </w:r>
    </w:p>
    <w:p>
      <w:pPr>
        <w:pStyle w:val="Question"/>
        <w:keepNext/>
      </w:pPr>
      <w:r>
        <w:t>12. Why synthetic data?</w:t>
      </w:r>
    </w:p>
    <w:p>
      <w:pPr>
        <w:pStyle w:val="Answer"/>
      </w:pPr>
      <w:r>
        <w:rPr>
          <w:rFonts w:ascii="Calibri" w:hAnsi="Calibri"/>
          <w:b/>
          <w:color w:val="1E2830"/>
        </w:rPr>
        <w:t xml:space="preserve">Strong answer — </w:t>
      </w:r>
      <w:r>
        <w:t>It is license-clean, deterministic, offline, and reproducible. That makes tests stable and the repository self-contained. It does not establish real-market validity, so the UI labels it illustrative.</w:t>
      </w:r>
    </w:p>
    <w:p>
      <w:pPr>
        <w:pStyle w:val="SmallNote"/>
      </w:pPr>
      <w:r>
        <w:rPr>
          <w:rFonts w:ascii="Calibri" w:hAnsi="Calibri"/>
          <w:b/>
          <w:color w:val="5B6570"/>
        </w:rPr>
        <w:t xml:space="preserve">Likely follow-up: </w:t>
      </w:r>
      <w:r>
        <w:t>What would a real-data migration require?</w:t>
      </w:r>
    </w:p>
    <w:p>
      <w:pPr>
        <w:pStyle w:val="Question"/>
        <w:keepNext/>
      </w:pPr>
      <w:r>
        <w:t>13. How does correlated GBM work here?</w:t>
      </w:r>
    </w:p>
    <w:p>
      <w:pPr>
        <w:pStyle w:val="Answer"/>
      </w:pPr>
      <w:r>
        <w:rPr>
          <w:rFonts w:ascii="Calibri" w:hAnsi="Calibri"/>
          <w:b/>
          <w:color w:val="1E2830"/>
        </w:rPr>
        <w:t xml:space="preserve">Strong answer — </w:t>
      </w:r>
      <w:r>
        <w:t>Independent normal shocks are transformed by the Cholesky factor of a hand-built correlation matrix. Drift and volatility parameters then produce correlated log returns, which accumulate into price paths.</w:t>
      </w:r>
    </w:p>
    <w:p>
      <w:pPr>
        <w:pStyle w:val="SmallNote"/>
      </w:pPr>
      <w:r>
        <w:rPr>
          <w:rFonts w:ascii="Calibri" w:hAnsi="Calibri"/>
          <w:b/>
          <w:color w:val="5B6570"/>
        </w:rPr>
        <w:t xml:space="preserve">Likely follow-up: </w:t>
      </w:r>
      <w:r>
        <w:t>What assumptions make GBM unrealistic?</w:t>
      </w:r>
    </w:p>
    <w:p>
      <w:pPr>
        <w:pStyle w:val="Question"/>
        <w:keepNext/>
      </w:pPr>
      <w:r>
        <w:t>14. What does Structured Outputs guarantee?</w:t>
      </w:r>
    </w:p>
    <w:p>
      <w:pPr>
        <w:pStyle w:val="Answer"/>
      </w:pPr>
      <w:r>
        <w:rPr>
          <w:rFonts w:ascii="Calibri" w:hAnsi="Calibri"/>
          <w:b/>
          <w:color w:val="1E2830"/>
        </w:rPr>
        <w:t xml:space="preserve">Strong answer — </w:t>
      </w:r>
      <w:r>
        <w:t>It guarantees the response conforms to the declared schema so parsing yields typed fields. It does not verify that free-text claims are factually correct or that a number belongs to the right concept.</w:t>
      </w:r>
    </w:p>
    <w:p>
      <w:pPr>
        <w:pStyle w:val="SmallNote"/>
      </w:pPr>
      <w:r>
        <w:rPr>
          <w:rFonts w:ascii="Calibri" w:hAnsi="Calibri"/>
          <w:b/>
          <w:color w:val="5B6570"/>
        </w:rPr>
        <w:t xml:space="preserve">Likely follow-up: </w:t>
      </w:r>
      <w:r>
        <w:t>How is this different from JSON mode?</w:t>
      </w:r>
    </w:p>
    <w:p>
      <w:pPr>
        <w:pStyle w:val="Question"/>
        <w:keepNext/>
      </w:pPr>
      <w:r>
        <w:t>15. How does the numeric guardrail work?</w:t>
      </w:r>
    </w:p>
    <w:p>
      <w:pPr>
        <w:pStyle w:val="Answer"/>
      </w:pPr>
      <w:r>
        <w:rPr>
          <w:rFonts w:ascii="Calibri" w:hAnsi="Calibri"/>
          <w:b/>
          <w:color w:val="1E2830"/>
        </w:rPr>
        <w:t xml:space="preserve">Strong answer — </w:t>
      </w:r>
      <w:r>
        <w:t>It extracts numeric tokens from all model prose, normalizes them, and checks exact rendered forms, controlled counts/constants, or a small relative epsilon against engine facts. Any failure blocks the draft.</w:t>
      </w:r>
    </w:p>
    <w:p>
      <w:pPr>
        <w:pStyle w:val="SmallNote"/>
      </w:pPr>
      <w:r>
        <w:rPr>
          <w:rFonts w:ascii="Calibri" w:hAnsi="Calibri"/>
          <w:b/>
          <w:color w:val="5B6570"/>
        </w:rPr>
        <w:t xml:space="preserve">Likely follow-up: </w:t>
      </w:r>
      <w:r>
        <w:t>How do negative percentages behave?</w:t>
      </w:r>
    </w:p>
    <w:p>
      <w:pPr>
        <w:pStyle w:val="Question"/>
        <w:keepNext/>
      </w:pPr>
      <w:r>
        <w:t>16. Why allow rounding epsilon?</w:t>
      </w:r>
    </w:p>
    <w:p>
      <w:pPr>
        <w:pStyle w:val="Answer"/>
      </w:pPr>
      <w:r>
        <w:rPr>
          <w:rFonts w:ascii="Calibri" w:hAnsi="Calibri"/>
          <w:b/>
          <w:color w:val="1E2830"/>
        </w:rPr>
        <w:t xml:space="preserve">Strong answer — </w:t>
      </w:r>
      <w:r>
        <w:t>A model may say 32% for a 31.5% fact. A one-percent relative tolerance plus explicit rounded forms accepts normal presentation changes without accepting materially different values.</w:t>
      </w:r>
    </w:p>
    <w:p>
      <w:pPr>
        <w:pStyle w:val="SmallNote"/>
      </w:pPr>
      <w:r>
        <w:rPr>
          <w:rFonts w:ascii="Calibri" w:hAnsi="Calibri"/>
          <w:b/>
          <w:color w:val="5B6570"/>
        </w:rPr>
        <w:t xml:space="preserve">Likely follow-up: </w:t>
      </w:r>
      <w:r>
        <w:t>Why can epsilon be dangerous near zero?</w:t>
      </w:r>
    </w:p>
    <w:p>
      <w:pPr>
        <w:pStyle w:val="Question"/>
        <w:keepNext/>
      </w:pPr>
      <w:r>
        <w:t>17. Why retry only once?</w:t>
      </w:r>
    </w:p>
    <w:p>
      <w:pPr>
        <w:pStyle w:val="Answer"/>
      </w:pPr>
      <w:r>
        <w:rPr>
          <w:rFonts w:ascii="Calibri" w:hAnsi="Calibri"/>
          <w:b/>
          <w:color w:val="1E2830"/>
        </w:rPr>
        <w:t xml:space="preserve">Strong answer — </w:t>
      </w:r>
      <w:r>
        <w:t>One correction can repair a formatting or grounding mistake. More retries increase latency and spend and can loop during persistent failure. After one retry, deterministic fallback is safer.</w:t>
      </w:r>
    </w:p>
    <w:p>
      <w:pPr>
        <w:pStyle w:val="SmallNote"/>
      </w:pPr>
      <w:r>
        <w:rPr>
          <w:rFonts w:ascii="Calibri" w:hAnsi="Calibri"/>
          <w:b/>
          <w:color w:val="5B6570"/>
        </w:rPr>
        <w:t xml:space="preserve">Likely follow-up: </w:t>
      </w:r>
      <w:r>
        <w:t>Would you retry transport errors?</w:t>
      </w:r>
    </w:p>
    <w:p>
      <w:pPr>
        <w:pStyle w:val="Question"/>
        <w:keepNext/>
      </w:pPr>
      <w:r>
        <w:t>18. Why not simply remove hallucinated numbers?</w:t>
      </w:r>
    </w:p>
    <w:p>
      <w:pPr>
        <w:pStyle w:val="Answer"/>
      </w:pPr>
      <w:r>
        <w:rPr>
          <w:rFonts w:ascii="Calibri" w:hAnsi="Calibri"/>
          <w:b/>
          <w:color w:val="1E2830"/>
        </w:rPr>
        <w:t xml:space="preserve">Strong answer — </w:t>
      </w:r>
      <w:r>
        <w:t>String deletion can leave misleading or broken prose and does not repair the underlying claim. Regeneration preserves coherent language; fallback preserves correctness.</w:t>
      </w:r>
    </w:p>
    <w:p>
      <w:pPr>
        <w:pStyle w:val="SmallNote"/>
      </w:pPr>
      <w:r>
        <w:rPr>
          <w:rFonts w:ascii="Calibri" w:hAnsi="Calibri"/>
          <w:b/>
          <w:color w:val="5B6570"/>
        </w:rPr>
        <w:t xml:space="preserve">Likely follow-up: </w:t>
      </w:r>
      <w:r>
        <w:t>Could you render facts outside model prose instead?</w:t>
      </w:r>
    </w:p>
    <w:p>
      <w:pPr>
        <w:pStyle w:val="Question"/>
        <w:keepNext/>
      </w:pPr>
      <w:r>
        <w:t>19. What happens when OpenAI fails?</w:t>
      </w:r>
    </w:p>
    <w:p>
      <w:pPr>
        <w:pStyle w:val="Answer"/>
      </w:pPr>
      <w:r>
        <w:rPr>
          <w:rFonts w:ascii="Calibri" w:hAnsi="Calibri"/>
          <w:b/>
          <w:color w:val="1E2830"/>
        </w:rPr>
        <w:t xml:space="preserve">Strong answer — </w:t>
      </w:r>
      <w:r>
        <w:t>The SDK error, refusal, or empty parse is converted to LLMError and the pipeline returns a deterministic template. In demo mode the model is never called.</w:t>
      </w:r>
    </w:p>
    <w:p>
      <w:pPr>
        <w:pStyle w:val="SmallNote"/>
      </w:pPr>
      <w:r>
        <w:rPr>
          <w:rFonts w:ascii="Calibri" w:hAnsi="Calibri"/>
          <w:b/>
          <w:color w:val="5B6570"/>
        </w:rPr>
        <w:t xml:space="preserve">Likely follow-up: </w:t>
      </w:r>
      <w:r>
        <w:t>What should be logged and measured?</w:t>
      </w:r>
    </w:p>
    <w:p>
      <w:pPr>
        <w:pStyle w:val="Question"/>
        <w:keepNext/>
      </w:pPr>
      <w:r>
        <w:t>20. What can the guardrail miss?</w:t>
      </w:r>
    </w:p>
    <w:p>
      <w:pPr>
        <w:pStyle w:val="Answer"/>
      </w:pPr>
      <w:r>
        <w:rPr>
          <w:rFonts w:ascii="Calibri" w:hAnsi="Calibri"/>
          <w:b/>
          <w:color w:val="1E2830"/>
        </w:rPr>
        <w:t xml:space="preserve">Strong answer — </w:t>
      </w:r>
      <w:r>
        <w:t>It can miss non-numeric falsehoods, attach a valid number to the wrong metric, accept contextually unsafe small integers or 100, and cannot prove investment-advice compliance. It is numeric grounding, not universal truth verification.</w:t>
      </w:r>
    </w:p>
    <w:p>
      <w:pPr>
        <w:pStyle w:val="SmallNote"/>
      </w:pPr>
      <w:r>
        <w:rPr>
          <w:rFonts w:ascii="Calibri" w:hAnsi="Calibri"/>
          <w:b/>
          <w:color w:val="5B6570"/>
        </w:rPr>
        <w:t xml:space="preserve">Likely follow-up: </w:t>
      </w:r>
      <w:r>
        <w:t>How would claim-level validation work?</w:t>
      </w:r>
    </w:p>
    <w:p>
      <w:pPr>
        <w:pStyle w:val="Question"/>
        <w:keepNext/>
      </w:pPr>
      <w:r>
        <w:t>21. How is buy/sell advice prevented?</w:t>
      </w:r>
    </w:p>
    <w:p>
      <w:pPr>
        <w:pStyle w:val="Answer"/>
      </w:pPr>
      <w:r>
        <w:rPr>
          <w:rFonts w:ascii="Calibri" w:hAnsi="Calibri"/>
          <w:b/>
          <w:color w:val="1E2830"/>
        </w:rPr>
        <w:t xml:space="preserve">Strong answer — </w:t>
      </w:r>
      <w:r>
        <w:t>Today the prompt, template wording, field description, and demo tests push questions instead of imperatives. The live path lacks a runtime compliance validator, so I would add deterministic language checks and adversarial tests before calling it fully enforced.</w:t>
      </w:r>
    </w:p>
    <w:p>
      <w:pPr>
        <w:pStyle w:val="SmallNote"/>
      </w:pPr>
      <w:r>
        <w:rPr>
          <w:rFonts w:ascii="Calibri" w:hAnsi="Calibri"/>
          <w:b/>
          <w:color w:val="5B6570"/>
        </w:rPr>
        <w:t xml:space="preserve">Likely follow-up: </w:t>
      </w:r>
      <w:r>
        <w:t>Would keyword blocking be sufficient?</w:t>
      </w:r>
    </w:p>
    <w:p>
      <w:pPr>
        <w:pStyle w:val="Question"/>
        <w:keepNext/>
      </w:pPr>
      <w:r>
        <w:t>22. How does DEMO_MODE work?</w:t>
      </w:r>
    </w:p>
    <w:p>
      <w:pPr>
        <w:pStyle w:val="Answer"/>
      </w:pPr>
      <w:r>
        <w:rPr>
          <w:rFonts w:ascii="Calibri" w:hAnsi="Calibri"/>
          <w:b/>
          <w:color w:val="1E2830"/>
        </w:rPr>
        <w:t xml:space="preserve">Strong answer — </w:t>
      </w:r>
      <w:r>
        <w:t>A missing key forces demo mode. explain short-circuits to a template built from current facts and labels it demo_fixture, so local development and CI require no paid API.</w:t>
      </w:r>
    </w:p>
    <w:p>
      <w:pPr>
        <w:pStyle w:val="SmallNote"/>
      </w:pPr>
      <w:r>
        <w:rPr>
          <w:rFonts w:ascii="Calibri" w:hAnsi="Calibri"/>
          <w:b/>
          <w:color w:val="5B6570"/>
        </w:rPr>
        <w:t xml:space="preserve">Likely follow-up: </w:t>
      </w:r>
      <w:r>
        <w:t>What if DEMO_MODE=0 but the key is blank?</w:t>
      </w:r>
    </w:p>
    <w:p>
      <w:pPr>
        <w:pStyle w:val="Question"/>
        <w:keepNext/>
      </w:pPr>
      <w:r>
        <w:t>23. Why use a shared secret?</w:t>
      </w:r>
    </w:p>
    <w:p>
      <w:pPr>
        <w:pStyle w:val="Answer"/>
      </w:pPr>
      <w:r>
        <w:rPr>
          <w:rFonts w:ascii="Calibri" w:hAnsi="Calibri"/>
          <w:b/>
          <w:color w:val="1E2830"/>
        </w:rPr>
        <w:t xml:space="preserve">Strong answer — </w:t>
      </w:r>
      <w:r>
        <w:t>It is a lightweight service-to-service gate and keeps the backend from being an unauthenticated data/model endpoint. Production should also use a non-default secret, TLS, network restriction, rotation, and preferably workload identity or signed tokens.</w:t>
      </w:r>
    </w:p>
    <w:p>
      <w:pPr>
        <w:pStyle w:val="SmallNote"/>
      </w:pPr>
      <w:r>
        <w:rPr>
          <w:rFonts w:ascii="Calibri" w:hAnsi="Calibri"/>
          <w:b/>
          <w:color w:val="5B6570"/>
        </w:rPr>
        <w:t xml:space="preserve">Likely follow-up: </w:t>
      </w:r>
      <w:r>
        <w:t>Where is the secret stored in Vercel?</w:t>
      </w:r>
    </w:p>
    <w:p>
      <w:pPr>
        <w:pStyle w:val="Question"/>
        <w:keepNext/>
      </w:pPr>
      <w:r>
        <w:t>24. Why is /health unauthenticated?</w:t>
      </w:r>
    </w:p>
    <w:p>
      <w:pPr>
        <w:pStyle w:val="Answer"/>
      </w:pPr>
      <w:r>
        <w:rPr>
          <w:rFonts w:ascii="Calibri" w:hAnsi="Calibri"/>
          <w:b/>
          <w:color w:val="1E2830"/>
        </w:rPr>
        <w:t xml:space="preserve">Strong answer — </w:t>
      </w:r>
      <w:r>
        <w:t>Container orchestration needs a cheap liveness endpoint. Because it exposes mode and version, it should remain on a private service or return less detail if public.</w:t>
      </w:r>
    </w:p>
    <w:p>
      <w:pPr>
        <w:pStyle w:val="SmallNote"/>
      </w:pPr>
      <w:r>
        <w:rPr>
          <w:rFonts w:ascii="Calibri" w:hAnsi="Calibri"/>
          <w:b/>
          <w:color w:val="5B6570"/>
        </w:rPr>
        <w:t xml:space="preserve">Likely follow-up: </w:t>
      </w:r>
      <w:r>
        <w:t>What is the difference between liveness and readiness?</w:t>
      </w:r>
    </w:p>
    <w:p>
      <w:pPr>
        <w:pStyle w:val="Question"/>
        <w:keepNext/>
      </w:pPr>
      <w:r>
        <w:t>25. How does frontend fallback work?</w:t>
      </w:r>
    </w:p>
    <w:p>
      <w:pPr>
        <w:pStyle w:val="Answer"/>
      </w:pPr>
      <w:r>
        <w:rPr>
          <w:rFonts w:ascii="Calibri" w:hAnsi="Calibri"/>
          <w:b/>
          <w:color w:val="1E2830"/>
        </w:rPr>
        <w:t xml:space="preserve">Strong answer — </w:t>
      </w:r>
      <w:r>
        <w:t>fetchSampleReport waits at most 2.5 seconds, returns live JSON on success, and otherwise returns a committed RiskReport fixture. That keeps the demo available but can hide backend outages without telemetry.</w:t>
      </w:r>
    </w:p>
    <w:p>
      <w:pPr>
        <w:pStyle w:val="SmallNote"/>
      </w:pPr>
      <w:r>
        <w:rPr>
          <w:rFonts w:ascii="Calibri" w:hAnsi="Calibri"/>
          <w:b/>
          <w:color w:val="5B6570"/>
        </w:rPr>
        <w:t xml:space="preserve">Likely follow-up: </w:t>
      </w:r>
      <w:r>
        <w:t>How would you test fixture freshness?</w:t>
      </w:r>
    </w:p>
    <w:p>
      <w:pPr>
        <w:pStyle w:val="Question"/>
        <w:keepNext/>
      </w:pPr>
      <w:r>
        <w:t>26. Is the fixture a cache?</w:t>
      </w:r>
    </w:p>
    <w:p>
      <w:pPr>
        <w:pStyle w:val="Answer"/>
      </w:pPr>
      <w:r>
        <w:rPr>
          <w:rFonts w:ascii="Calibri" w:hAnsi="Calibri"/>
          <w:b/>
          <w:color w:val="1E2830"/>
        </w:rPr>
        <w:t xml:space="preserve">Strong answer — </w:t>
      </w:r>
      <w:r>
        <w:t>Not technically. It is a static snapshot with no freshness or invalidation. A real cache would key reports, store timestamps, and control regeneration and expiry.</w:t>
      </w:r>
    </w:p>
    <w:p>
      <w:pPr>
        <w:pStyle w:val="SmallNote"/>
      </w:pPr>
      <w:r>
        <w:rPr>
          <w:rFonts w:ascii="Calibri" w:hAnsi="Calibri"/>
          <w:b/>
          <w:color w:val="5B6570"/>
        </w:rPr>
        <w:t xml:space="preserve">Likely follow-up: </w:t>
      </w:r>
      <w:r>
        <w:t>Would you use Redis or Postgres?</w:t>
      </w:r>
    </w:p>
    <w:p>
      <w:pPr>
        <w:pStyle w:val="Question"/>
        <w:keepNext/>
      </w:pPr>
      <w:r>
        <w:t>27. Why omit Postgres?</w:t>
      </w:r>
    </w:p>
    <w:p>
      <w:pPr>
        <w:pStyle w:val="Answer"/>
      </w:pPr>
      <w:r>
        <w:rPr>
          <w:rFonts w:ascii="Calibri" w:hAnsi="Calibri"/>
          <w:b/>
          <w:color w:val="1E2830"/>
        </w:rPr>
        <w:t xml:space="preserve">Strong answer — </w:t>
      </w:r>
      <w:r>
        <w:t>The current product has no users, writes, or history. Keeping a database would create migrations, credentials, backups, and deployment failure modes without supporting a requirement.</w:t>
      </w:r>
    </w:p>
    <w:p>
      <w:pPr>
        <w:pStyle w:val="SmallNote"/>
      </w:pPr>
      <w:r>
        <w:rPr>
          <w:rFonts w:ascii="Calibri" w:hAnsi="Calibri"/>
          <w:b/>
          <w:color w:val="5B6570"/>
        </w:rPr>
        <w:t xml:space="preserve">Likely follow-up: </w:t>
      </w:r>
      <w:r>
        <w:t>When does Postgres become necessary?</w:t>
      </w:r>
    </w:p>
    <w:p>
      <w:pPr>
        <w:pStyle w:val="Question"/>
        <w:keepNext/>
      </w:pPr>
      <w:r>
        <w:t>28. How are backend and frontend types kept consistent?</w:t>
      </w:r>
    </w:p>
    <w:p>
      <w:pPr>
        <w:pStyle w:val="Answer"/>
      </w:pPr>
      <w:r>
        <w:rPr>
          <w:rFonts w:ascii="Calibri" w:hAnsi="Calibri"/>
          <w:b/>
          <w:color w:val="1E2830"/>
        </w:rPr>
        <w:t xml:space="preserve">Strong answer — </w:t>
      </w:r>
      <w:r>
        <w:t>They are manually mirrored: Pydantic in Python and TypeScript interfaces in the frontend. This is simple but drift-prone; generating types from FastAPI's OpenAPI schema is the next step.</w:t>
      </w:r>
    </w:p>
    <w:p>
      <w:pPr>
        <w:pStyle w:val="SmallNote"/>
      </w:pPr>
      <w:r>
        <w:rPr>
          <w:rFonts w:ascii="Calibri" w:hAnsi="Calibri"/>
          <w:b/>
          <w:color w:val="5B6570"/>
        </w:rPr>
        <w:t xml:space="preserve">Likely follow-up: </w:t>
      </w:r>
      <w:r>
        <w:t>How would CI detect drift?</w:t>
      </w:r>
    </w:p>
    <w:p>
      <w:pPr>
        <w:pStyle w:val="Question"/>
        <w:keepNext/>
      </w:pPr>
      <w:r>
        <w:t>29. What tests give you confidence?</w:t>
      </w:r>
    </w:p>
    <w:p>
      <w:pPr>
        <w:pStyle w:val="Answer"/>
      </w:pPr>
      <w:r>
        <w:rPr>
          <w:rFonts w:ascii="Calibri" w:hAnsi="Calibri"/>
          <w:b/>
          <w:color w:val="1E2830"/>
        </w:rPr>
        <w:t xml:space="preserve">Strong answer — </w:t>
      </w:r>
      <w:r>
        <w:t>Hand-verifiable math tests prove formulas, guardrail unit tests prove token rules, an import test proves the architecture boundary, API tests prove authorization and shape, and stubbed model tests prove retry/fallback branches without network calls.</w:t>
      </w:r>
    </w:p>
    <w:p>
      <w:pPr>
        <w:pStyle w:val="SmallNote"/>
      </w:pPr>
      <w:r>
        <w:rPr>
          <w:rFonts w:ascii="Calibri" w:hAnsi="Calibri"/>
          <w:b/>
          <w:color w:val="5B6570"/>
        </w:rPr>
        <w:t xml:space="preserve">Likely follow-up: </w:t>
      </w:r>
      <w:r>
        <w:t>What high-value test is missing?</w:t>
      </w:r>
    </w:p>
    <w:p>
      <w:pPr>
        <w:pStyle w:val="Question"/>
        <w:keepNext/>
      </w:pPr>
      <w:r>
        <w:t>30. Why stub OpenAI in tests?</w:t>
      </w:r>
    </w:p>
    <w:p>
      <w:pPr>
        <w:pStyle w:val="Answer"/>
      </w:pPr>
      <w:r>
        <w:rPr>
          <w:rFonts w:ascii="Calibri" w:hAnsi="Calibri"/>
          <w:b/>
          <w:color w:val="1E2830"/>
        </w:rPr>
        <w:t xml:space="preserve">Strong answer — </w:t>
      </w:r>
      <w:r>
        <w:t>Network tests are slow, costly, nondeterministic, and can fail for unrelated reasons. The stub mimics the parsed SDK shape and deterministically exercises each branch. Separate opt-in live eval should measure model behavior.</w:t>
      </w:r>
    </w:p>
    <w:p>
      <w:pPr>
        <w:pStyle w:val="SmallNote"/>
      </w:pPr>
      <w:r>
        <w:rPr>
          <w:rFonts w:ascii="Calibri" w:hAnsi="Calibri"/>
          <w:b/>
          <w:color w:val="5B6570"/>
        </w:rPr>
        <w:t xml:space="preserve">Likely follow-up: </w:t>
      </w:r>
      <w:r>
        <w:t>What should a contract test cover?</w:t>
      </w:r>
    </w:p>
    <w:p>
      <w:pPr>
        <w:pStyle w:val="Question"/>
        <w:keepNext/>
      </w:pPr>
      <w:r>
        <w:t>31. What is the difference between the eval and unit tests?</w:t>
      </w:r>
    </w:p>
    <w:p>
      <w:pPr>
        <w:pStyle w:val="Answer"/>
      </w:pPr>
      <w:r>
        <w:rPr>
          <w:rFonts w:ascii="Calibri" w:hAnsi="Calibri"/>
          <w:b/>
          <w:color w:val="1E2830"/>
        </w:rPr>
        <w:t xml:space="preserve">Strong answer — </w:t>
      </w:r>
      <w:r>
        <w:t>Unit tests assert specific validator behavior. The current fixture eval aggregates a small catch-rate metric across four canned cases. A real live eval would repeatedly run multiple portfolios and report parse, catch, fallback, and post-validation rates.</w:t>
      </w:r>
    </w:p>
    <w:p>
      <w:pPr>
        <w:pStyle w:val="SmallNote"/>
      </w:pPr>
      <w:r>
        <w:rPr>
          <w:rFonts w:ascii="Calibri" w:hAnsi="Calibri"/>
          <w:b/>
          <w:color w:val="5B6570"/>
        </w:rPr>
        <w:t xml:space="preserve">Likely follow-up: </w:t>
      </w:r>
      <w:r>
        <w:t>Why should live eval not run on every push?</w:t>
      </w:r>
    </w:p>
    <w:p>
      <w:pPr>
        <w:pStyle w:val="Question"/>
        <w:keepNext/>
      </w:pPr>
      <w:r>
        <w:t>32. How does CI work?</w:t>
      </w:r>
    </w:p>
    <w:p>
      <w:pPr>
        <w:pStyle w:val="Answer"/>
      </w:pPr>
      <w:r>
        <w:rPr>
          <w:rFonts w:ascii="Calibri" w:hAnsi="Calibri"/>
          <w:b/>
          <w:color w:val="1E2830"/>
        </w:rPr>
        <w:t xml:space="preserve">Strong answer — </w:t>
      </w:r>
      <w:r>
        <w:t>GitHub Actions installs Python 3.11 dependencies, runs pytest and fixture eval, then installs Node 20 dependencies and runs the Next production build. Ruff currently is not enforced, which explains two remaining style failures.</w:t>
      </w:r>
    </w:p>
    <w:p>
      <w:pPr>
        <w:pStyle w:val="SmallNote"/>
      </w:pPr>
      <w:r>
        <w:rPr>
          <w:rFonts w:ascii="Calibri" w:hAnsi="Calibri"/>
          <w:b/>
          <w:color w:val="5B6570"/>
        </w:rPr>
        <w:t xml:space="preserve">Likely follow-up: </w:t>
      </w:r>
      <w:r>
        <w:t>Would you use npm ci instead of npm install?</w:t>
      </w:r>
    </w:p>
    <w:p>
      <w:pPr>
        <w:pStyle w:val="Question"/>
        <w:keepNext/>
      </w:pPr>
      <w:r>
        <w:t>33. What is the biggest production risk?</w:t>
      </w:r>
    </w:p>
    <w:p>
      <w:pPr>
        <w:pStyle w:val="Answer"/>
      </w:pPr>
      <w:r>
        <w:rPr>
          <w:rFonts w:ascii="Calibri" w:hAnsi="Calibri"/>
          <w:b/>
          <w:color w:val="1E2830"/>
        </w:rPr>
        <w:t xml:space="preserve">Strong answer — </w:t>
      </w:r>
      <w:r>
        <w:t>The current guardrail is narrower than the product language may imply. Semantic claim validation, compliance enforcement, live evaluation, secret hardening, rate limits, spend caps, and observability must land before real users or personalized data.</w:t>
      </w:r>
    </w:p>
    <w:p>
      <w:pPr>
        <w:pStyle w:val="SmallNote"/>
      </w:pPr>
      <w:r>
        <w:rPr>
          <w:rFonts w:ascii="Calibri" w:hAnsi="Calibri"/>
          <w:b/>
          <w:color w:val="5B6570"/>
        </w:rPr>
        <w:t xml:space="preserve">Likely follow-up: </w:t>
      </w:r>
      <w:r>
        <w:t>Which one would you do first?</w:t>
      </w:r>
    </w:p>
    <w:p>
      <w:pPr>
        <w:pStyle w:val="Question"/>
        <w:keepNext/>
      </w:pPr>
      <w:r>
        <w:t>34. How would you scale this system?</w:t>
      </w:r>
    </w:p>
    <w:p>
      <w:pPr>
        <w:pStyle w:val="Answer"/>
      </w:pPr>
      <w:r>
        <w:rPr>
          <w:rFonts w:ascii="Calibri" w:hAnsi="Calibri"/>
          <w:b/>
          <w:color w:val="1E2830"/>
        </w:rPr>
        <w:t xml:space="preserve">Strong answer — </w:t>
      </w:r>
      <w:r>
        <w:t>Cache deterministic reports by portfolio/data version, separate model generation from request latency, use async or queued work, enforce per-user rate and spend limits, add observability, and keep math facts immutable. Scale services only after measuring bottlenecks.</w:t>
      </w:r>
    </w:p>
    <w:p>
      <w:pPr>
        <w:pStyle w:val="SmallNote"/>
      </w:pPr>
      <w:r>
        <w:rPr>
          <w:rFonts w:ascii="Calibri" w:hAnsi="Calibri"/>
          <w:b/>
          <w:color w:val="5B6570"/>
        </w:rPr>
        <w:t xml:space="preserve">Likely follow-up: </w:t>
      </w:r>
      <w:r>
        <w:t>What would you cache separately?</w:t>
      </w:r>
    </w:p>
    <w:p>
      <w:pPr>
        <w:pStyle w:val="Question"/>
        <w:keepNext/>
      </w:pPr>
      <w:r>
        <w:t>35. What would you build next?</w:t>
      </w:r>
    </w:p>
    <w:p>
      <w:pPr>
        <w:pStyle w:val="Answer"/>
      </w:pPr>
      <w:r>
        <w:rPr>
          <w:rFonts w:ascii="Calibri" w:hAnsi="Calibri"/>
          <w:b/>
          <w:color w:val="1E2830"/>
        </w:rPr>
        <w:t xml:space="preserve">Strong answer — </w:t>
      </w:r>
      <w:r>
        <w:t>First contextual fact-to-claim validation plus compliance checks. Second live repeated-model eval and metrics. Third OpenAPI type generation, fixture parity CI, E2E browser tests, and real cache/observability. Product expansion comes after reliability debt.</w:t>
      </w:r>
    </w:p>
    <w:p>
      <w:pPr>
        <w:pStyle w:val="SmallNote"/>
      </w:pPr>
      <w:r>
        <w:rPr>
          <w:rFonts w:ascii="Calibri" w:hAnsi="Calibri"/>
          <w:b/>
          <w:color w:val="5B6570"/>
        </w:rPr>
        <w:t xml:space="preserve">Likely follow-up: </w:t>
      </w:r>
      <w:r>
        <w:t>Why not add RAG first?</w:t>
      </w:r>
    </w:p>
    <w:p>
      <w:r>
        <w:br w:type="page"/>
      </w:r>
    </w:p>
    <w:p>
      <w:pPr>
        <w:pStyle w:val="Heading1"/>
      </w:pPr>
      <w:r>
        <w:t>11. Honest limitations and next improvements</w:t>
      </w:r>
    </w:p>
    <w:p>
      <w:pPr>
        <w:pStyle w:val="Lead"/>
      </w:pPr>
      <w:r>
        <w:t>Strong candidates distinguish demonstrated properties from desired properties.</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360"/>
        <w:gridCol w:w="3240"/>
        <w:gridCol w:w="3760"/>
      </w:tblGrid>
      <w:tr>
        <w:trPr>
          <w:tblHeader w:val="true"/>
        </w:trPr>
        <w:tc>
          <w:tcPr>
            <w:tcW w:type="dxa" w:w="2360"/>
            <w:shd w:fill="E8EEF5"/>
            <w:vAlign w:val="center"/>
            <w:tcMar>
              <w:top w:w="80" w:type="dxa"/>
              <w:bottom w:w="80" w:type="dxa"/>
              <w:start w:w="120" w:type="dxa"/>
              <w:end w:w="120" w:type="dxa"/>
            </w:tcMar>
          </w:tcPr>
          <w:p>
            <w:pPr>
              <w:pStyle w:val="TableHeader"/>
            </w:pPr>
            <w:r>
              <w:t>Current limitation</w:t>
            </w:r>
          </w:p>
        </w:tc>
        <w:tc>
          <w:tcPr>
            <w:tcW w:type="dxa" w:w="3240"/>
            <w:shd w:fill="E8EEF5"/>
            <w:vAlign w:val="center"/>
            <w:tcMar>
              <w:top w:w="80" w:type="dxa"/>
              <w:bottom w:w="80" w:type="dxa"/>
              <w:start w:w="120" w:type="dxa"/>
              <w:end w:w="120" w:type="dxa"/>
            </w:tcMar>
          </w:tcPr>
          <w:p>
            <w:pPr>
              <w:pStyle w:val="TableHeader"/>
            </w:pPr>
            <w:r>
              <w:t>Why it matters</w:t>
            </w:r>
          </w:p>
        </w:tc>
        <w:tc>
          <w:tcPr>
            <w:tcW w:type="dxa" w:w="3760"/>
            <w:shd w:fill="E8EEF5"/>
            <w:vAlign w:val="center"/>
            <w:tcMar>
              <w:top w:w="80" w:type="dxa"/>
              <w:bottom w:w="80" w:type="dxa"/>
              <w:start w:w="120" w:type="dxa"/>
              <w:end w:w="120" w:type="dxa"/>
            </w:tcMar>
          </w:tcPr>
          <w:p>
            <w:pPr>
              <w:pStyle w:val="TableHeader"/>
            </w:pPr>
            <w:r>
              <w:t>Concrete next change</w:t>
            </w:r>
          </w:p>
        </w:tc>
      </w:tr>
      <w:tr>
        <w:tc>
          <w:tcPr>
            <w:tcW w:type="dxa" w:w="2360"/>
            <w:vAlign w:val="center"/>
            <w:tcMar>
              <w:top w:w="80" w:type="dxa"/>
              <w:bottom w:w="80" w:type="dxa"/>
              <w:start w:w="120" w:type="dxa"/>
              <w:end w:w="120" w:type="dxa"/>
            </w:tcMar>
          </w:tcPr>
          <w:p>
            <w:pPr>
              <w:pStyle w:val="TableText"/>
            </w:pPr>
            <w:r>
              <w:t>Numeric validator lacks field context</w:t>
            </w:r>
          </w:p>
        </w:tc>
        <w:tc>
          <w:tcPr>
            <w:tcW w:type="dxa" w:w="3240"/>
            <w:vAlign w:val="center"/>
            <w:tcMar>
              <w:top w:w="80" w:type="dxa"/>
              <w:bottom w:w="80" w:type="dxa"/>
              <w:start w:w="120" w:type="dxa"/>
              <w:end w:w="120" w:type="dxa"/>
            </w:tcMar>
          </w:tcPr>
          <w:p>
            <w:pPr>
              <w:pStyle w:val="TableText"/>
            </w:pPr>
            <w:r>
              <w:t>A valid number can be attached to the wrong metric; safe constants are broad.</w:t>
            </w:r>
          </w:p>
        </w:tc>
        <w:tc>
          <w:tcPr>
            <w:tcW w:type="dxa" w:w="3760"/>
            <w:vAlign w:val="center"/>
            <w:tcMar>
              <w:top w:w="80" w:type="dxa"/>
              <w:bottom w:w="80" w:type="dxa"/>
              <w:start w:w="120" w:type="dxa"/>
              <w:end w:w="120" w:type="dxa"/>
            </w:tcMar>
          </w:tcPr>
          <w:p>
            <w:pPr>
              <w:pStyle w:val="TableText"/>
            </w:pPr>
            <w:r>
              <w:t>Represent claims as metric_id + value + prose span; validate relationship and contextual denominators.</w:t>
            </w:r>
          </w:p>
        </w:tc>
      </w:tr>
      <w:tr>
        <w:tc>
          <w:tcPr>
            <w:tcW w:type="dxa" w:w="2360"/>
            <w:vAlign w:val="center"/>
            <w:tcMar>
              <w:top w:w="80" w:type="dxa"/>
              <w:bottom w:w="80" w:type="dxa"/>
              <w:start w:w="120" w:type="dxa"/>
              <w:end w:w="120" w:type="dxa"/>
            </w:tcMar>
          </w:tcPr>
          <w:p>
            <w:pPr>
              <w:pStyle w:val="TableText"/>
            </w:pPr>
            <w:r>
              <w:t>Compliance is prompt-led</w:t>
            </w:r>
          </w:p>
        </w:tc>
        <w:tc>
          <w:tcPr>
            <w:tcW w:type="dxa" w:w="3240"/>
            <w:vAlign w:val="center"/>
            <w:tcMar>
              <w:top w:w="80" w:type="dxa"/>
              <w:bottom w:w="80" w:type="dxa"/>
              <w:start w:w="120" w:type="dxa"/>
              <w:end w:w="120" w:type="dxa"/>
            </w:tcMar>
          </w:tcPr>
          <w:p>
            <w:pPr>
              <w:pStyle w:val="TableText"/>
            </w:pPr>
            <w:r>
              <w:t>Live model checklist and language are not deterministically enforced.</w:t>
            </w:r>
          </w:p>
        </w:tc>
        <w:tc>
          <w:tcPr>
            <w:tcW w:type="dxa" w:w="3760"/>
            <w:vAlign w:val="center"/>
            <w:tcMar>
              <w:top w:w="80" w:type="dxa"/>
              <w:bottom w:w="80" w:type="dxa"/>
              <w:start w:w="120" w:type="dxa"/>
              <w:end w:w="120" w:type="dxa"/>
            </w:tcMar>
          </w:tcPr>
          <w:p>
            <w:pPr>
              <w:pStyle w:val="TableText"/>
            </w:pPr>
            <w:r>
              <w:t>Add validators for question form, prohibited advice language, and required disclaimer; adversarial tests.</w:t>
            </w:r>
          </w:p>
        </w:tc>
      </w:tr>
      <w:tr>
        <w:tc>
          <w:tcPr>
            <w:tcW w:type="dxa" w:w="2360"/>
            <w:vAlign w:val="center"/>
            <w:tcMar>
              <w:top w:w="80" w:type="dxa"/>
              <w:bottom w:w="80" w:type="dxa"/>
              <w:start w:w="120" w:type="dxa"/>
              <w:end w:w="120" w:type="dxa"/>
            </w:tcMar>
          </w:tcPr>
          <w:p>
            <w:pPr>
              <w:pStyle w:val="TableText"/>
            </w:pPr>
            <w:r>
              <w:t>Fixture eval is tiny</w:t>
            </w:r>
          </w:p>
        </w:tc>
        <w:tc>
          <w:tcPr>
            <w:tcW w:type="dxa" w:w="3240"/>
            <w:vAlign w:val="center"/>
            <w:tcMar>
              <w:top w:w="80" w:type="dxa"/>
              <w:bottom w:w="80" w:type="dxa"/>
              <w:start w:w="120" w:type="dxa"/>
              <w:end w:w="120" w:type="dxa"/>
            </w:tcMar>
          </w:tcPr>
          <w:p>
            <w:pPr>
              <w:pStyle w:val="TableText"/>
            </w:pPr>
            <w:r>
              <w:t>100% on two injected cases is not statistical evidence about a live model.</w:t>
            </w:r>
          </w:p>
        </w:tc>
        <w:tc>
          <w:tcPr>
            <w:tcW w:type="dxa" w:w="3760"/>
            <w:vAlign w:val="center"/>
            <w:tcMar>
              <w:top w:w="80" w:type="dxa"/>
              <w:bottom w:w="80" w:type="dxa"/>
              <w:start w:w="120" w:type="dxa"/>
              <w:end w:w="120" w:type="dxa"/>
            </w:tcMar>
          </w:tcPr>
          <w:p>
            <w:pPr>
              <w:pStyle w:val="TableText"/>
            </w:pPr>
            <w:r>
              <w:t>Run opt-in R×K live evaluations; commit timestamped model, dataset, parse, catch, fallback, and final rates.</w:t>
            </w:r>
          </w:p>
        </w:tc>
      </w:tr>
      <w:tr>
        <w:tc>
          <w:tcPr>
            <w:tcW w:type="dxa" w:w="2360"/>
            <w:vAlign w:val="center"/>
            <w:tcMar>
              <w:top w:w="80" w:type="dxa"/>
              <w:bottom w:w="80" w:type="dxa"/>
              <w:start w:w="120" w:type="dxa"/>
              <w:end w:w="120" w:type="dxa"/>
            </w:tcMar>
          </w:tcPr>
          <w:p>
            <w:pPr>
              <w:pStyle w:val="TableText"/>
            </w:pPr>
            <w:r>
              <w:t>Fallback hides failures</w:t>
            </w:r>
          </w:p>
        </w:tc>
        <w:tc>
          <w:tcPr>
            <w:tcW w:type="dxa" w:w="3240"/>
            <w:vAlign w:val="center"/>
            <w:tcMar>
              <w:top w:w="80" w:type="dxa"/>
              <w:bottom w:w="80" w:type="dxa"/>
              <w:start w:w="120" w:type="dxa"/>
              <w:end w:w="120" w:type="dxa"/>
            </w:tcMar>
          </w:tcPr>
          <w:p>
            <w:pPr>
              <w:pStyle w:val="TableText"/>
            </w:pPr>
            <w:r>
              <w:t>A 401 or 500 looks like a healthy demo.</w:t>
            </w:r>
          </w:p>
        </w:tc>
        <w:tc>
          <w:tcPr>
            <w:tcW w:type="dxa" w:w="3760"/>
            <w:vAlign w:val="center"/>
            <w:tcMar>
              <w:top w:w="80" w:type="dxa"/>
              <w:bottom w:w="80" w:type="dxa"/>
              <w:start w:w="120" w:type="dxa"/>
              <w:end w:w="120" w:type="dxa"/>
            </w:tcMar>
          </w:tcPr>
          <w:p>
            <w:pPr>
              <w:pStyle w:val="TableText"/>
            </w:pPr>
            <w:r>
              <w:t>Log reason, emit metrics, expose freshness/source clearly, alert on fallback-rate spikes.</w:t>
            </w:r>
          </w:p>
        </w:tc>
      </w:tr>
      <w:tr>
        <w:tc>
          <w:tcPr>
            <w:tcW w:type="dxa" w:w="2360"/>
            <w:vAlign w:val="center"/>
            <w:tcMar>
              <w:top w:w="80" w:type="dxa"/>
              <w:bottom w:w="80" w:type="dxa"/>
              <w:start w:w="120" w:type="dxa"/>
              <w:end w:w="120" w:type="dxa"/>
            </w:tcMar>
          </w:tcPr>
          <w:p>
            <w:pPr>
              <w:pStyle w:val="TableText"/>
            </w:pPr>
            <w:r>
              <w:t>Static fixture can drift</w:t>
            </w:r>
          </w:p>
        </w:tc>
        <w:tc>
          <w:tcPr>
            <w:tcW w:type="dxa" w:w="3240"/>
            <w:vAlign w:val="center"/>
            <w:tcMar>
              <w:top w:w="80" w:type="dxa"/>
              <w:bottom w:w="80" w:type="dxa"/>
              <w:start w:w="120" w:type="dxa"/>
              <w:end w:w="120" w:type="dxa"/>
            </w:tcMar>
          </w:tcPr>
          <w:p>
            <w:pPr>
              <w:pStyle w:val="TableText"/>
            </w:pPr>
            <w:r>
              <w:t>Backend schema or math may change without JSON update.</w:t>
            </w:r>
          </w:p>
        </w:tc>
        <w:tc>
          <w:tcPr>
            <w:tcW w:type="dxa" w:w="3760"/>
            <w:vAlign w:val="center"/>
            <w:tcMar>
              <w:top w:w="80" w:type="dxa"/>
              <w:bottom w:w="80" w:type="dxa"/>
              <w:start w:w="120" w:type="dxa"/>
              <w:end w:w="120" w:type="dxa"/>
            </w:tcMar>
          </w:tcPr>
          <w:p>
            <w:pPr>
              <w:pStyle w:val="TableText"/>
            </w:pPr>
            <w:r>
              <w:t>Generate fixture in CI and compare exact normalized JSON.</w:t>
            </w:r>
          </w:p>
        </w:tc>
      </w:tr>
      <w:tr>
        <w:tc>
          <w:tcPr>
            <w:tcW w:type="dxa" w:w="2360"/>
            <w:vAlign w:val="center"/>
            <w:tcMar>
              <w:top w:w="80" w:type="dxa"/>
              <w:bottom w:w="80" w:type="dxa"/>
              <w:start w:w="120" w:type="dxa"/>
              <w:end w:w="120" w:type="dxa"/>
            </w:tcMar>
          </w:tcPr>
          <w:p>
            <w:pPr>
              <w:pStyle w:val="TableText"/>
            </w:pPr>
            <w:r>
              <w:t>Backend dependencies use broad lower bounds</w:t>
            </w:r>
          </w:p>
        </w:tc>
        <w:tc>
          <w:tcPr>
            <w:tcW w:type="dxa" w:w="3240"/>
            <w:vAlign w:val="center"/>
            <w:tcMar>
              <w:top w:w="80" w:type="dxa"/>
              <w:bottom w:w="80" w:type="dxa"/>
              <w:start w:w="120" w:type="dxa"/>
              <w:end w:w="120" w:type="dxa"/>
            </w:tcMar>
          </w:tcPr>
          <w:p>
            <w:pPr>
              <w:pStyle w:val="TableText"/>
            </w:pPr>
            <w:r>
              <w:t>Builds can change over time.</w:t>
            </w:r>
          </w:p>
        </w:tc>
        <w:tc>
          <w:tcPr>
            <w:tcW w:type="dxa" w:w="3760"/>
            <w:vAlign w:val="center"/>
            <w:tcMar>
              <w:top w:w="80" w:type="dxa"/>
              <w:bottom w:w="80" w:type="dxa"/>
              <w:start w:w="120" w:type="dxa"/>
              <w:end w:w="120" w:type="dxa"/>
            </w:tcMar>
          </w:tcPr>
          <w:p>
            <w:pPr>
              <w:pStyle w:val="TableText"/>
            </w:pPr>
            <w:r>
              <w:t>Add a locked Python dependency file and install with reproducible hashes.</w:t>
            </w:r>
          </w:p>
        </w:tc>
      </w:tr>
      <w:tr>
        <w:tc>
          <w:tcPr>
            <w:tcW w:type="dxa" w:w="2360"/>
            <w:vAlign w:val="center"/>
            <w:tcMar>
              <w:top w:w="80" w:type="dxa"/>
              <w:bottom w:w="80" w:type="dxa"/>
              <w:start w:w="120" w:type="dxa"/>
              <w:end w:w="120" w:type="dxa"/>
            </w:tcMar>
          </w:tcPr>
          <w:p>
            <w:pPr>
              <w:pStyle w:val="TableText"/>
            </w:pPr>
            <w:r>
              <w:t>No Ruff CI gate</w:t>
            </w:r>
          </w:p>
        </w:tc>
        <w:tc>
          <w:tcPr>
            <w:tcW w:type="dxa" w:w="3240"/>
            <w:vAlign w:val="center"/>
            <w:tcMar>
              <w:top w:w="80" w:type="dxa"/>
              <w:bottom w:w="80" w:type="dxa"/>
              <w:start w:w="120" w:type="dxa"/>
              <w:end w:w="120" w:type="dxa"/>
            </w:tcMar>
          </w:tcPr>
          <w:p>
            <w:pPr>
              <w:pStyle w:val="TableText"/>
            </w:pPr>
            <w:r>
              <w:t>Current tree has two fixable unused imports.</w:t>
            </w:r>
          </w:p>
        </w:tc>
        <w:tc>
          <w:tcPr>
            <w:tcW w:type="dxa" w:w="3760"/>
            <w:vAlign w:val="center"/>
            <w:tcMar>
              <w:top w:w="80" w:type="dxa"/>
              <w:bottom w:w="80" w:type="dxa"/>
              <w:start w:w="120" w:type="dxa"/>
              <w:end w:w="120" w:type="dxa"/>
            </w:tcMar>
          </w:tcPr>
          <w:p>
            <w:pPr>
              <w:pStyle w:val="TableText"/>
            </w:pPr>
            <w:r>
              <w:t>Fix errors and add ruff check to GitHub Actions.</w:t>
            </w:r>
          </w:p>
        </w:tc>
      </w:tr>
      <w:tr>
        <w:tc>
          <w:tcPr>
            <w:tcW w:type="dxa" w:w="2360"/>
            <w:vAlign w:val="center"/>
            <w:tcMar>
              <w:top w:w="80" w:type="dxa"/>
              <w:bottom w:w="80" w:type="dxa"/>
              <w:start w:w="120" w:type="dxa"/>
              <w:end w:w="120" w:type="dxa"/>
            </w:tcMar>
          </w:tcPr>
          <w:p>
            <w:pPr>
              <w:pStyle w:val="TableText"/>
            </w:pPr>
            <w:r>
              <w:t>Frontend type duplication</w:t>
            </w:r>
          </w:p>
        </w:tc>
        <w:tc>
          <w:tcPr>
            <w:tcW w:type="dxa" w:w="3240"/>
            <w:vAlign w:val="center"/>
            <w:tcMar>
              <w:top w:w="80" w:type="dxa"/>
              <w:bottom w:w="80" w:type="dxa"/>
              <w:start w:w="120" w:type="dxa"/>
              <w:end w:w="120" w:type="dxa"/>
            </w:tcMar>
          </w:tcPr>
          <w:p>
            <w:pPr>
              <w:pStyle w:val="TableText"/>
            </w:pPr>
            <w:r>
              <w:t>Pydantic and TypeScript can diverge silently.</w:t>
            </w:r>
          </w:p>
        </w:tc>
        <w:tc>
          <w:tcPr>
            <w:tcW w:type="dxa" w:w="3760"/>
            <w:vAlign w:val="center"/>
            <w:tcMar>
              <w:top w:w="80" w:type="dxa"/>
              <w:bottom w:w="80" w:type="dxa"/>
              <w:start w:w="120" w:type="dxa"/>
              <w:end w:w="120" w:type="dxa"/>
            </w:tcMar>
          </w:tcPr>
          <w:p>
            <w:pPr>
              <w:pStyle w:val="TableText"/>
            </w:pPr>
            <w:r>
              <w:t>Generate client types from FastAPI OpenAPI; add contract test.</w:t>
            </w:r>
          </w:p>
        </w:tc>
      </w:tr>
      <w:tr>
        <w:tc>
          <w:tcPr>
            <w:tcW w:type="dxa" w:w="2360"/>
            <w:vAlign w:val="center"/>
            <w:tcMar>
              <w:top w:w="80" w:type="dxa"/>
              <w:bottom w:w="80" w:type="dxa"/>
              <w:start w:w="120" w:type="dxa"/>
              <w:end w:w="120" w:type="dxa"/>
            </w:tcMar>
          </w:tcPr>
          <w:p>
            <w:pPr>
              <w:pStyle w:val="TableText"/>
            </w:pPr>
            <w:r>
              <w:t>No browser E2E</w:t>
            </w:r>
          </w:p>
        </w:tc>
        <w:tc>
          <w:tcPr>
            <w:tcW w:type="dxa" w:w="3240"/>
            <w:vAlign w:val="center"/>
            <w:tcMar>
              <w:top w:w="80" w:type="dxa"/>
              <w:bottom w:w="80" w:type="dxa"/>
              <w:start w:w="120" w:type="dxa"/>
              <w:end w:w="120" w:type="dxa"/>
            </w:tcMar>
          </w:tcPr>
          <w:p>
            <w:pPr>
              <w:pStyle w:val="TableText"/>
            </w:pPr>
            <w:r>
              <w:t>Build success does not prove rendered content or fallback behavior.</w:t>
            </w:r>
          </w:p>
        </w:tc>
        <w:tc>
          <w:tcPr>
            <w:tcW w:type="dxa" w:w="3760"/>
            <w:vAlign w:val="center"/>
            <w:tcMar>
              <w:top w:w="80" w:type="dxa"/>
              <w:bottom w:w="80" w:type="dxa"/>
              <w:start w:w="120" w:type="dxa"/>
              <w:end w:w="120" w:type="dxa"/>
            </w:tcMar>
          </w:tcPr>
          <w:p>
            <w:pPr>
              <w:pStyle w:val="TableText"/>
            </w:pPr>
            <w:r>
              <w:t>Playwright: live fixture page, backend outage, mobile layout, accessibility smoke.</w:t>
            </w:r>
          </w:p>
        </w:tc>
      </w:tr>
      <w:tr>
        <w:tc>
          <w:tcPr>
            <w:tcW w:type="dxa" w:w="2360"/>
            <w:vAlign w:val="center"/>
            <w:tcMar>
              <w:top w:w="80" w:type="dxa"/>
              <w:bottom w:w="80" w:type="dxa"/>
              <w:start w:w="120" w:type="dxa"/>
              <w:end w:w="120" w:type="dxa"/>
            </w:tcMar>
          </w:tcPr>
          <w:p>
            <w:pPr>
              <w:pStyle w:val="TableText"/>
            </w:pPr>
            <w:r>
              <w:t>Synthetic data only</w:t>
            </w:r>
          </w:p>
        </w:tc>
        <w:tc>
          <w:tcPr>
            <w:tcW w:type="dxa" w:w="3240"/>
            <w:vAlign w:val="center"/>
            <w:tcMar>
              <w:top w:w="80" w:type="dxa"/>
              <w:bottom w:w="80" w:type="dxa"/>
              <w:start w:w="120" w:type="dxa"/>
              <w:end w:w="120" w:type="dxa"/>
            </w:tcMar>
          </w:tcPr>
          <w:p>
            <w:pPr>
              <w:pStyle w:val="TableText"/>
            </w:pPr>
            <w:r>
              <w:t>Metrics are reproducible but not market-current or externally valid.</w:t>
            </w:r>
          </w:p>
        </w:tc>
        <w:tc>
          <w:tcPr>
            <w:tcW w:type="dxa" w:w="3760"/>
            <w:vAlign w:val="center"/>
            <w:tcMar>
              <w:top w:w="80" w:type="dxa"/>
              <w:bottom w:w="80" w:type="dxa"/>
              <w:start w:w="120" w:type="dxa"/>
              <w:end w:w="120" w:type="dxa"/>
            </w:tcMar>
          </w:tcPr>
          <w:p>
            <w:pPr>
              <w:pStyle w:val="TableText"/>
            </w:pPr>
            <w:r>
              <w:t>Add a licensed, dated dataset with validation and date-aligned joins before user claims.</w:t>
            </w:r>
          </w:p>
        </w:tc>
      </w:tr>
      <w:tr>
        <w:tc>
          <w:tcPr>
            <w:tcW w:type="dxa" w:w="2360"/>
            <w:vAlign w:val="center"/>
            <w:tcMar>
              <w:top w:w="80" w:type="dxa"/>
              <w:bottom w:w="80" w:type="dxa"/>
              <w:start w:w="120" w:type="dxa"/>
              <w:end w:w="120" w:type="dxa"/>
            </w:tcMar>
          </w:tcPr>
          <w:p>
            <w:pPr>
              <w:pStyle w:val="TableText"/>
            </w:pPr>
            <w:r>
              <w:t>No rate limit or spend cap</w:t>
            </w:r>
          </w:p>
        </w:tc>
        <w:tc>
          <w:tcPr>
            <w:tcW w:type="dxa" w:w="3240"/>
            <w:vAlign w:val="center"/>
            <w:tcMar>
              <w:top w:w="80" w:type="dxa"/>
              <w:bottom w:w="80" w:type="dxa"/>
              <w:start w:w="120" w:type="dxa"/>
              <w:end w:w="120" w:type="dxa"/>
            </w:tcMar>
          </w:tcPr>
          <w:p>
            <w:pPr>
              <w:pStyle w:val="TableText"/>
            </w:pPr>
            <w:r>
              <w:t>A live public regenerate path could create uncontrolled API cost.</w:t>
            </w:r>
          </w:p>
        </w:tc>
        <w:tc>
          <w:tcPr>
            <w:tcW w:type="dxa" w:w="3760"/>
            <w:vAlign w:val="center"/>
            <w:tcMar>
              <w:top w:w="80" w:type="dxa"/>
              <w:bottom w:w="80" w:type="dxa"/>
              <w:start w:w="120" w:type="dxa"/>
              <w:end w:w="120" w:type="dxa"/>
            </w:tcMar>
          </w:tcPr>
          <w:p>
            <w:pPr>
              <w:pStyle w:val="TableText"/>
            </w:pPr>
            <w:r>
              <w:t>Keep demo fixture default; add authenticated/rate-limited regeneration and global budget circuit breaker.</w:t>
            </w:r>
          </w:p>
        </w:tc>
      </w:tr>
      <w:tr>
        <w:tc>
          <w:tcPr>
            <w:tcW w:type="dxa" w:w="2360"/>
            <w:vAlign w:val="center"/>
            <w:tcMar>
              <w:top w:w="80" w:type="dxa"/>
              <w:bottom w:w="80" w:type="dxa"/>
              <w:start w:w="120" w:type="dxa"/>
              <w:end w:w="120" w:type="dxa"/>
            </w:tcMar>
          </w:tcPr>
          <w:p>
            <w:pPr>
              <w:pStyle w:val="TableText"/>
            </w:pPr>
            <w:r>
              <w:t>Synchronous model request</w:t>
            </w:r>
          </w:p>
        </w:tc>
        <w:tc>
          <w:tcPr>
            <w:tcW w:type="dxa" w:w="3240"/>
            <w:vAlign w:val="center"/>
            <w:tcMar>
              <w:top w:w="80" w:type="dxa"/>
              <w:bottom w:w="80" w:type="dxa"/>
              <w:start w:w="120" w:type="dxa"/>
              <w:end w:w="120" w:type="dxa"/>
            </w:tcMar>
          </w:tcPr>
          <w:p>
            <w:pPr>
              <w:pStyle w:val="TableText"/>
            </w:pPr>
            <w:r>
              <w:t>Concurrent traffic can tie up workers and increase tail latency.</w:t>
            </w:r>
          </w:p>
        </w:tc>
        <w:tc>
          <w:tcPr>
            <w:tcW w:type="dxa" w:w="3760"/>
            <w:vAlign w:val="center"/>
            <w:tcMar>
              <w:top w:w="80" w:type="dxa"/>
              <w:bottom w:w="80" w:type="dxa"/>
              <w:start w:w="120" w:type="dxa"/>
              <w:end w:w="120" w:type="dxa"/>
            </w:tcMar>
          </w:tcPr>
          <w:p>
            <w:pPr>
              <w:pStyle w:val="TableText"/>
            </w:pPr>
            <w:r>
              <w:t>Use async client or background job; return deterministic facts immediately and hydrate explanation later.</w:t>
            </w:r>
          </w:p>
        </w:tc>
      </w:tr>
    </w:tbl>
    <w:p>
      <w:pPr>
        <w:spacing w:after="40"/>
      </w:pPr>
    </w:p>
    <w:p>
      <w:pPr>
        <w:pStyle w:val="Heading2"/>
      </w:pPr>
      <w:r>
        <w:t>README/docs drift found</w:t>
      </w:r>
    </w:p>
    <w:p>
      <w:pPr>
        <w:numPr>
          <w:ilvl w:val="0"/>
          <w:numId w:val="51"/>
        </w:numPr>
        <w:spacing w:after="80" w:line="300" w:lineRule="auto"/>
      </w:pPr>
      <w:r>
        <w:t>README status still says the live LLM call is remaining even though commit 4c50030 implements it.</w:t>
      </w:r>
    </w:p>
    <w:p>
      <w:pPr>
        <w:numPr>
          <w:ilvl w:val="0"/>
          <w:numId w:val="51"/>
        </w:numPr>
        <w:spacing w:after="80" w:line="300" w:lineRule="auto"/>
      </w:pPr>
      <w:r>
        <w:t>README references a radial-gauge dashboard that is not implemented.</w:t>
      </w:r>
    </w:p>
    <w:p>
      <w:pPr>
        <w:numPr>
          <w:ilvl w:val="0"/>
          <w:numId w:val="51"/>
        </w:numPr>
        <w:spacing w:after="80" w:line="300" w:lineRule="auto"/>
      </w:pPr>
      <w:r>
        <w:t>Reliability text implies a final-output headline across N cases, while the current eval reports only catch rate on four fixtures.</w:t>
      </w:r>
    </w:p>
    <w:p>
      <w:pPr>
        <w:numPr>
          <w:ilvl w:val="0"/>
          <w:numId w:val="51"/>
        </w:numPr>
        <w:spacing w:after="80" w:line="300" w:lineRule="auto"/>
      </w:pPr>
      <w:r>
        <w:t>doctor script calls the fallback cached, but implementation is a committed static fixture.</w:t>
      </w:r>
    </w:p>
    <w:p>
      <w:pPr>
        <w:pStyle w:val="Callout"/>
        <w:ind w:left="173" w:right="115"/>
        <w:shd w:fill="FBECEC"/>
        <w:pBdr>
          <w:left w:val="single" w:sz="16" w:space="6" w:color="9B1C1C"/>
        </w:pBdr>
      </w:pPr>
      <w:r>
        <w:rPr>
          <w:rFonts w:ascii="Calibri" w:hAnsi="Calibri"/>
          <w:b/>
          <w:color w:val="9B1C1C"/>
        </w:rPr>
        <w:t xml:space="preserve">Interview rule: </w:t>
      </w:r>
      <w:r>
        <w:t>Never repeat stale README claims. Describe current code and state exactly what remains unmeasured.</w:t>
      </w:r>
    </w:p>
    <w:p>
      <w:r>
        <w:br w:type="page"/>
      </w:r>
    </w:p>
    <w:p>
      <w:pPr>
        <w:pStyle w:val="Heading1"/>
      </w:pPr>
      <w:r>
        <w:t>12. Seven-day study plan</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700"/>
        <w:gridCol w:w="3000"/>
        <w:gridCol w:w="5660"/>
      </w:tblGrid>
      <w:tr>
        <w:trPr>
          <w:tblHeader w:val="true"/>
        </w:trPr>
        <w:tc>
          <w:tcPr>
            <w:tcW w:type="dxa" w:w="700"/>
            <w:shd w:fill="E8EEF5"/>
            <w:vAlign w:val="center"/>
            <w:tcMar>
              <w:top w:w="80" w:type="dxa"/>
              <w:bottom w:w="80" w:type="dxa"/>
              <w:start w:w="120" w:type="dxa"/>
              <w:end w:w="120" w:type="dxa"/>
            </w:tcMar>
          </w:tcPr>
          <w:p>
            <w:pPr>
              <w:pStyle w:val="TableHeader"/>
            </w:pPr>
            <w:r>
              <w:t>Day</w:t>
            </w:r>
          </w:p>
        </w:tc>
        <w:tc>
          <w:tcPr>
            <w:tcW w:type="dxa" w:w="3000"/>
            <w:shd w:fill="E8EEF5"/>
            <w:vAlign w:val="center"/>
            <w:tcMar>
              <w:top w:w="80" w:type="dxa"/>
              <w:bottom w:w="80" w:type="dxa"/>
              <w:start w:w="120" w:type="dxa"/>
              <w:end w:w="120" w:type="dxa"/>
            </w:tcMar>
          </w:tcPr>
          <w:p>
            <w:pPr>
              <w:pStyle w:val="TableHeader"/>
            </w:pPr>
            <w:r>
              <w:t>Focus</w:t>
            </w:r>
          </w:p>
        </w:tc>
        <w:tc>
          <w:tcPr>
            <w:tcW w:type="dxa" w:w="5660"/>
            <w:shd w:fill="E8EEF5"/>
            <w:vAlign w:val="center"/>
            <w:tcMar>
              <w:top w:w="80" w:type="dxa"/>
              <w:bottom w:w="80" w:type="dxa"/>
              <w:start w:w="120" w:type="dxa"/>
              <w:end w:w="120" w:type="dxa"/>
            </w:tcMar>
          </w:tcPr>
          <w:p>
            <w:pPr>
              <w:pStyle w:val="TableHeader"/>
            </w:pPr>
            <w:r>
              <w:t>Exit test</w:t>
            </w:r>
          </w:p>
        </w:tc>
      </w:tr>
      <w:tr>
        <w:tc>
          <w:tcPr>
            <w:tcW w:type="dxa" w:w="700"/>
            <w:vAlign w:val="center"/>
            <w:tcMar>
              <w:top w:w="80" w:type="dxa"/>
              <w:bottom w:w="80" w:type="dxa"/>
              <w:start w:w="120" w:type="dxa"/>
              <w:end w:w="120" w:type="dxa"/>
            </w:tcMar>
          </w:tcPr>
          <w:p>
            <w:pPr>
              <w:pStyle w:val="TableText"/>
            </w:pPr>
            <w:r>
              <w:t>1</w:t>
            </w:r>
          </w:p>
        </w:tc>
        <w:tc>
          <w:tcPr>
            <w:tcW w:type="dxa" w:w="3000"/>
            <w:vAlign w:val="center"/>
            <w:tcMar>
              <w:top w:w="80" w:type="dxa"/>
              <w:bottom w:w="80" w:type="dxa"/>
              <w:start w:w="120" w:type="dxa"/>
              <w:end w:w="120" w:type="dxa"/>
            </w:tcMar>
          </w:tcPr>
          <w:p>
            <w:pPr>
              <w:pStyle w:val="TableText"/>
            </w:pPr>
            <w:r>
              <w:t>Architecture and request flow</w:t>
            </w:r>
          </w:p>
        </w:tc>
        <w:tc>
          <w:tcPr>
            <w:tcW w:type="dxa" w:w="5660"/>
            <w:vAlign w:val="center"/>
            <w:tcMar>
              <w:top w:w="80" w:type="dxa"/>
              <w:bottom w:w="80" w:type="dxa"/>
              <w:start w:w="120" w:type="dxa"/>
              <w:end w:w="120" w:type="dxa"/>
            </w:tcMar>
          </w:tcPr>
          <w:p>
            <w:pPr>
              <w:pStyle w:val="TableText"/>
            </w:pPr>
            <w:r>
              <w:t>Draw the seven-node flow and two fallback branches from memory in three minutes.</w:t>
            </w:r>
          </w:p>
        </w:tc>
      </w:tr>
      <w:tr>
        <w:tc>
          <w:tcPr>
            <w:tcW w:type="dxa" w:w="700"/>
            <w:vAlign w:val="center"/>
            <w:tcMar>
              <w:top w:w="80" w:type="dxa"/>
              <w:bottom w:w="80" w:type="dxa"/>
              <w:start w:w="120" w:type="dxa"/>
              <w:end w:w="120" w:type="dxa"/>
            </w:tcMar>
          </w:tcPr>
          <w:p>
            <w:pPr>
              <w:pStyle w:val="TableText"/>
            </w:pPr>
            <w:r>
              <w:t>2</w:t>
            </w:r>
          </w:p>
        </w:tc>
        <w:tc>
          <w:tcPr>
            <w:tcW w:type="dxa" w:w="3000"/>
            <w:vAlign w:val="center"/>
            <w:tcMar>
              <w:top w:w="80" w:type="dxa"/>
              <w:bottom w:w="80" w:type="dxa"/>
              <w:start w:w="120" w:type="dxa"/>
              <w:end w:w="120" w:type="dxa"/>
            </w:tcMar>
          </w:tcPr>
          <w:p>
            <w:pPr>
              <w:pStyle w:val="TableText"/>
            </w:pPr>
            <w:r>
              <w:t>Risk math</w:t>
            </w:r>
          </w:p>
        </w:tc>
        <w:tc>
          <w:tcPr>
            <w:tcW w:type="dxa" w:w="5660"/>
            <w:vAlign w:val="center"/>
            <w:tcMar>
              <w:top w:w="80" w:type="dxa"/>
              <w:bottom w:w="80" w:type="dxa"/>
              <w:start w:w="120" w:type="dxa"/>
              <w:end w:w="120" w:type="dxa"/>
            </w:tcMar>
          </w:tcPr>
          <w:p>
            <w:pPr>
              <w:pStyle w:val="TableText"/>
            </w:pPr>
            <w:r>
              <w:t>Explain covariance volatility, top-three concentration, HHI, drawdown, and score without opening code.</w:t>
            </w:r>
          </w:p>
        </w:tc>
      </w:tr>
      <w:tr>
        <w:tc>
          <w:tcPr>
            <w:tcW w:type="dxa" w:w="700"/>
            <w:vAlign w:val="center"/>
            <w:tcMar>
              <w:top w:w="80" w:type="dxa"/>
              <w:bottom w:w="80" w:type="dxa"/>
              <w:start w:w="120" w:type="dxa"/>
              <w:end w:w="120" w:type="dxa"/>
            </w:tcMar>
          </w:tcPr>
          <w:p>
            <w:pPr>
              <w:pStyle w:val="TableText"/>
            </w:pPr>
            <w:r>
              <w:t>3</w:t>
            </w:r>
          </w:p>
        </w:tc>
        <w:tc>
          <w:tcPr>
            <w:tcW w:type="dxa" w:w="3000"/>
            <w:vAlign w:val="center"/>
            <w:tcMar>
              <w:top w:w="80" w:type="dxa"/>
              <w:bottom w:w="80" w:type="dxa"/>
              <w:start w:w="120" w:type="dxa"/>
              <w:end w:w="120" w:type="dxa"/>
            </w:tcMar>
          </w:tcPr>
          <w:p>
            <w:pPr>
              <w:pStyle w:val="TableText"/>
            </w:pPr>
            <w:r>
              <w:t>LLM reliability</w:t>
            </w:r>
          </w:p>
        </w:tc>
        <w:tc>
          <w:tcPr>
            <w:tcW w:type="dxa" w:w="5660"/>
            <w:vAlign w:val="center"/>
            <w:tcMar>
              <w:top w:w="80" w:type="dxa"/>
              <w:bottom w:w="80" w:type="dxa"/>
              <w:start w:w="120" w:type="dxa"/>
              <w:end w:w="120" w:type="dxa"/>
            </w:tcMar>
          </w:tcPr>
          <w:p>
            <w:pPr>
              <w:pStyle w:val="TableText"/>
            </w:pPr>
            <w:r>
              <w:t>Explain Structured Outputs versus numeric grounding and list four guardrail limitations.</w:t>
            </w:r>
          </w:p>
        </w:tc>
      </w:tr>
      <w:tr>
        <w:tc>
          <w:tcPr>
            <w:tcW w:type="dxa" w:w="700"/>
            <w:vAlign w:val="center"/>
            <w:tcMar>
              <w:top w:w="80" w:type="dxa"/>
              <w:bottom w:w="80" w:type="dxa"/>
              <w:start w:w="120" w:type="dxa"/>
              <w:end w:w="120" w:type="dxa"/>
            </w:tcMar>
          </w:tcPr>
          <w:p>
            <w:pPr>
              <w:pStyle w:val="TableText"/>
            </w:pPr>
            <w:r>
              <w:t>4</w:t>
            </w:r>
          </w:p>
        </w:tc>
        <w:tc>
          <w:tcPr>
            <w:tcW w:type="dxa" w:w="3000"/>
            <w:vAlign w:val="center"/>
            <w:tcMar>
              <w:top w:w="80" w:type="dxa"/>
              <w:bottom w:w="80" w:type="dxa"/>
              <w:start w:w="120" w:type="dxa"/>
              <w:end w:w="120" w:type="dxa"/>
            </w:tcMar>
          </w:tcPr>
          <w:p>
            <w:pPr>
              <w:pStyle w:val="TableText"/>
            </w:pPr>
            <w:r>
              <w:t>API/security/deploy</w:t>
            </w:r>
          </w:p>
        </w:tc>
        <w:tc>
          <w:tcPr>
            <w:tcW w:type="dxa" w:w="5660"/>
            <w:vAlign w:val="center"/>
            <w:tcMar>
              <w:top w:w="80" w:type="dxa"/>
              <w:bottom w:w="80" w:type="dxa"/>
              <w:start w:w="120" w:type="dxa"/>
              <w:end w:w="120" w:type="dxa"/>
            </w:tcMar>
          </w:tcPr>
          <w:p>
            <w:pPr>
              <w:pStyle w:val="TableText"/>
            </w:pPr>
            <w:r>
              <w:t>Explain same-origin topology, secret placement, demo mode, fixture fallback, Docker, and CI.</w:t>
            </w:r>
          </w:p>
        </w:tc>
      </w:tr>
      <w:tr>
        <w:tc>
          <w:tcPr>
            <w:tcW w:type="dxa" w:w="700"/>
            <w:vAlign w:val="center"/>
            <w:tcMar>
              <w:top w:w="80" w:type="dxa"/>
              <w:bottom w:w="80" w:type="dxa"/>
              <w:start w:w="120" w:type="dxa"/>
              <w:end w:w="120" w:type="dxa"/>
            </w:tcMar>
          </w:tcPr>
          <w:p>
            <w:pPr>
              <w:pStyle w:val="TableText"/>
            </w:pPr>
            <w:r>
              <w:t>5</w:t>
            </w:r>
          </w:p>
        </w:tc>
        <w:tc>
          <w:tcPr>
            <w:tcW w:type="dxa" w:w="3000"/>
            <w:vAlign w:val="center"/>
            <w:tcMar>
              <w:top w:w="80" w:type="dxa"/>
              <w:bottom w:w="80" w:type="dxa"/>
              <w:start w:w="120" w:type="dxa"/>
              <w:end w:w="120" w:type="dxa"/>
            </w:tcMar>
          </w:tcPr>
          <w:p>
            <w:pPr>
              <w:pStyle w:val="TableText"/>
            </w:pPr>
            <w:r>
              <w:t>Code tour</w:t>
            </w:r>
          </w:p>
        </w:tc>
        <w:tc>
          <w:tcPr>
            <w:tcW w:type="dxa" w:w="5660"/>
            <w:vAlign w:val="center"/>
            <w:tcMar>
              <w:top w:w="80" w:type="dxa"/>
              <w:bottom w:w="80" w:type="dxa"/>
              <w:start w:w="120" w:type="dxa"/>
              <w:end w:w="120" w:type="dxa"/>
            </w:tcMar>
          </w:tcPr>
          <w:p>
            <w:pPr>
              <w:pStyle w:val="TableText"/>
            </w:pPr>
            <w:r>
              <w:t>Open the eight core files and narrate input, output, invariant, and failure for each.</w:t>
            </w:r>
          </w:p>
        </w:tc>
      </w:tr>
      <w:tr>
        <w:tc>
          <w:tcPr>
            <w:tcW w:type="dxa" w:w="700"/>
            <w:vAlign w:val="center"/>
            <w:tcMar>
              <w:top w:w="80" w:type="dxa"/>
              <w:bottom w:w="80" w:type="dxa"/>
              <w:start w:w="120" w:type="dxa"/>
              <w:end w:w="120" w:type="dxa"/>
            </w:tcMar>
          </w:tcPr>
          <w:p>
            <w:pPr>
              <w:pStyle w:val="TableText"/>
            </w:pPr>
            <w:r>
              <w:t>6</w:t>
            </w:r>
          </w:p>
        </w:tc>
        <w:tc>
          <w:tcPr>
            <w:tcW w:type="dxa" w:w="3000"/>
            <w:vAlign w:val="center"/>
            <w:tcMar>
              <w:top w:w="80" w:type="dxa"/>
              <w:bottom w:w="80" w:type="dxa"/>
              <w:start w:w="120" w:type="dxa"/>
              <w:end w:w="120" w:type="dxa"/>
            </w:tcMar>
          </w:tcPr>
          <w:p>
            <w:pPr>
              <w:pStyle w:val="TableText"/>
            </w:pPr>
            <w:r>
              <w:t>Mock interview</w:t>
            </w:r>
          </w:p>
        </w:tc>
        <w:tc>
          <w:tcPr>
            <w:tcW w:type="dxa" w:w="5660"/>
            <w:vAlign w:val="center"/>
            <w:tcMar>
              <w:top w:w="80" w:type="dxa"/>
              <w:bottom w:w="80" w:type="dxa"/>
              <w:start w:w="120" w:type="dxa"/>
              <w:end w:w="120" w:type="dxa"/>
            </w:tcMar>
          </w:tcPr>
          <w:p>
            <w:pPr>
              <w:pStyle w:val="TableText"/>
            </w:pPr>
            <w:r>
              <w:t>Answer 15 questions aloud; keep each under 90 seconds; record weak answers.</w:t>
            </w:r>
          </w:p>
        </w:tc>
      </w:tr>
      <w:tr>
        <w:tc>
          <w:tcPr>
            <w:tcW w:type="dxa" w:w="700"/>
            <w:vAlign w:val="center"/>
            <w:tcMar>
              <w:top w:w="80" w:type="dxa"/>
              <w:bottom w:w="80" w:type="dxa"/>
              <w:start w:w="120" w:type="dxa"/>
              <w:end w:w="120" w:type="dxa"/>
            </w:tcMar>
          </w:tcPr>
          <w:p>
            <w:pPr>
              <w:pStyle w:val="TableText"/>
            </w:pPr>
            <w:r>
              <w:t>7</w:t>
            </w:r>
          </w:p>
        </w:tc>
        <w:tc>
          <w:tcPr>
            <w:tcW w:type="dxa" w:w="3000"/>
            <w:vAlign w:val="center"/>
            <w:tcMar>
              <w:top w:w="80" w:type="dxa"/>
              <w:bottom w:w="80" w:type="dxa"/>
              <w:start w:w="120" w:type="dxa"/>
              <w:end w:w="120" w:type="dxa"/>
            </w:tcMar>
          </w:tcPr>
          <w:p>
            <w:pPr>
              <w:pStyle w:val="TableText"/>
            </w:pPr>
            <w:r>
              <w:t>Honesty and roadmap</w:t>
            </w:r>
          </w:p>
        </w:tc>
        <w:tc>
          <w:tcPr>
            <w:tcW w:type="dxa" w:w="5660"/>
            <w:vAlign w:val="center"/>
            <w:tcMar>
              <w:top w:w="80" w:type="dxa"/>
              <w:bottom w:w="80" w:type="dxa"/>
              <w:start w:w="120" w:type="dxa"/>
              <w:end w:w="120" w:type="dxa"/>
            </w:tcMar>
          </w:tcPr>
          <w:p>
            <w:pPr>
              <w:pStyle w:val="TableText"/>
            </w:pPr>
            <w:r>
              <w:t>Give 30-second pitch, 90-second architecture, top three gaps, and next three changes without notes.</w:t>
            </w:r>
          </w:p>
        </w:tc>
      </w:tr>
    </w:tbl>
    <w:p>
      <w:pPr>
        <w:spacing w:after="40"/>
      </w:pPr>
    </w:p>
    <w:p>
      <w:pPr>
        <w:pStyle w:val="Heading2"/>
      </w:pPr>
      <w:r>
        <w:t>Final cheat sheet</w:t>
      </w:r>
    </w:p>
    <w:p>
      <w:pPr>
        <w:pStyle w:val="Callout"/>
        <w:ind w:left="173" w:right="115"/>
        <w:shd w:fill="F4F6F9"/>
        <w:pBdr>
          <w:left w:val="single" w:sz="16" w:space="6" w:color="2E74B5"/>
        </w:pBdr>
      </w:pPr>
      <w:r>
        <w:rPr>
          <w:rFonts w:ascii="Calibri" w:hAnsi="Calibri"/>
          <w:b/>
          <w:color w:val="2E74B5"/>
        </w:rPr>
        <w:t xml:space="preserve">Spine: </w:t>
      </w:r>
      <w:r>
        <w:t>Data → Math → Facts → Model → Guard → Report → UI.</w:t>
      </w:r>
    </w:p>
    <w:p>
      <w:pPr>
        <w:numPr>
          <w:ilvl w:val="0"/>
          <w:numId w:val="51"/>
        </w:numPr>
        <w:spacing w:after="80" w:line="300" w:lineRule="auto"/>
      </w:pPr>
      <w:r>
        <w:t>Public boundary: Next.js. Private computation: FastAPI.</w:t>
      </w:r>
    </w:p>
    <w:p>
      <w:pPr>
        <w:numPr>
          <w:ilvl w:val="0"/>
          <w:numId w:val="51"/>
        </w:numPr>
        <w:spacing w:after="80" w:line="300" w:lineRule="auto"/>
      </w:pPr>
      <w:r>
        <w:t>Truth owner: RiskFacts from risk_engine.</w:t>
      </w:r>
    </w:p>
    <w:p>
      <w:pPr>
        <w:numPr>
          <w:ilvl w:val="0"/>
          <w:numId w:val="51"/>
        </w:numPr>
        <w:spacing w:after="80" w:line="300" w:lineRule="auto"/>
      </w:pPr>
      <w:r>
        <w:t>Math headline: covariance-based annualized portfolio volatility.</w:t>
      </w:r>
    </w:p>
    <w:p>
      <w:pPr>
        <w:numPr>
          <w:ilvl w:val="0"/>
          <w:numId w:val="51"/>
        </w:numPr>
        <w:spacing w:after="80" w:line="300" w:lineRule="auto"/>
      </w:pPr>
      <w:r>
        <w:t>AI headline: typed output does not equal truthful prose; validate numeric claims.</w:t>
      </w:r>
    </w:p>
    <w:p>
      <w:pPr>
        <w:numPr>
          <w:ilvl w:val="0"/>
          <w:numId w:val="51"/>
        </w:numPr>
        <w:spacing w:after="80" w:line="300" w:lineRule="auto"/>
      </w:pPr>
      <w:r>
        <w:t>Safety flow: one retry, then deterministic template.</w:t>
      </w:r>
    </w:p>
    <w:p>
      <w:pPr>
        <w:numPr>
          <w:ilvl w:val="0"/>
          <w:numId w:val="51"/>
        </w:numPr>
        <w:spacing w:after="80" w:line="300" w:lineRule="auto"/>
      </w:pPr>
      <w:r>
        <w:t>Availability flow: backend timeout, then committed fixture.</w:t>
      </w:r>
    </w:p>
    <w:p>
      <w:pPr>
        <w:numPr>
          <w:ilvl w:val="0"/>
          <w:numId w:val="51"/>
        </w:numPr>
        <w:spacing w:after="80" w:line="300" w:lineRule="auto"/>
      </w:pPr>
      <w:r>
        <w:t>Proof today: 39 tests, 2/2 injected catches in a four-case fixture eval, frontend build, exact fixture parity.</w:t>
      </w:r>
    </w:p>
    <w:p>
      <w:pPr>
        <w:numPr>
          <w:ilvl w:val="0"/>
          <w:numId w:val="51"/>
        </w:numPr>
        <w:spacing w:after="80" w:line="300" w:lineRule="auto"/>
      </w:pPr>
      <w:r>
        <w:t>Do not claim: production financial advice, live-market accuracy, universal hallucination prevention, live zero-percent hallucination rate, database/auth/RAG, or completed chart dashboard.</w:t>
      </w:r>
    </w:p>
    <w:p>
      <w:pPr>
        <w:pStyle w:val="Heading2"/>
      </w:pPr>
      <w:r>
        <w:t>Answer framework</w:t>
      </w:r>
    </w:p>
    <w:p>
      <w:pPr>
        <w:numPr>
          <w:ilvl w:val="0"/>
          <w:numId w:val="52"/>
        </w:numPr>
        <w:spacing w:after="80" w:line="300" w:lineRule="auto"/>
      </w:pPr>
      <w:r>
        <w:t>Decision: state what you chose.</w:t>
      </w:r>
    </w:p>
    <w:p>
      <w:pPr>
        <w:numPr>
          <w:ilvl w:val="0"/>
          <w:numId w:val="52"/>
        </w:numPr>
        <w:spacing w:after="80" w:line="300" w:lineRule="auto"/>
      </w:pPr>
      <w:r>
        <w:t>Constraint: state why the project needed it.</w:t>
      </w:r>
    </w:p>
    <w:p>
      <w:pPr>
        <w:numPr>
          <w:ilvl w:val="0"/>
          <w:numId w:val="52"/>
        </w:numPr>
        <w:spacing w:after="80" w:line="300" w:lineRule="auto"/>
      </w:pPr>
      <w:r>
        <w:t>Mechanism: name the code path or formula.</w:t>
      </w:r>
    </w:p>
    <w:p>
      <w:pPr>
        <w:numPr>
          <w:ilvl w:val="0"/>
          <w:numId w:val="52"/>
        </w:numPr>
        <w:spacing w:after="80" w:line="300" w:lineRule="auto"/>
      </w:pPr>
      <w:r>
        <w:t>Evidence: cite a test or verified result.</w:t>
      </w:r>
    </w:p>
    <w:p>
      <w:pPr>
        <w:numPr>
          <w:ilvl w:val="0"/>
          <w:numId w:val="52"/>
        </w:numPr>
        <w:spacing w:after="80" w:line="300" w:lineRule="auto"/>
      </w:pPr>
      <w:r>
        <w:t>Tradeoff: say what the choice does not solve.</w:t>
      </w:r>
    </w:p>
    <w:p>
      <w:pPr>
        <w:numPr>
          <w:ilvl w:val="0"/>
          <w:numId w:val="52"/>
        </w:numPr>
        <w:spacing w:after="80" w:line="300" w:lineRule="auto"/>
      </w:pPr>
      <w:r>
        <w:t>Next step: give one concrete improvement.</w:t>
      </w:r>
    </w:p>
    <w:p>
      <w:pPr>
        <w:pStyle w:val="Heading2"/>
      </w:pPr>
      <w:r>
        <w:t>Glossary</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900"/>
        <w:gridCol w:w="7460"/>
      </w:tblGrid>
      <w:tr>
        <w:trPr>
          <w:tblHeader w:val="true"/>
        </w:trPr>
        <w:tc>
          <w:tcPr>
            <w:tcW w:type="dxa" w:w="1900"/>
            <w:shd w:fill="E8EEF5"/>
            <w:vAlign w:val="center"/>
            <w:tcMar>
              <w:top w:w="80" w:type="dxa"/>
              <w:bottom w:w="80" w:type="dxa"/>
              <w:start w:w="120" w:type="dxa"/>
              <w:end w:w="120" w:type="dxa"/>
            </w:tcMar>
          </w:tcPr>
          <w:p>
            <w:pPr>
              <w:pStyle w:val="TableHeader"/>
            </w:pPr>
            <w:r>
              <w:t>Term</w:t>
            </w:r>
          </w:p>
        </w:tc>
        <w:tc>
          <w:tcPr>
            <w:tcW w:type="dxa" w:w="7460"/>
            <w:shd w:fill="E8EEF5"/>
            <w:vAlign w:val="center"/>
            <w:tcMar>
              <w:top w:w="80" w:type="dxa"/>
              <w:bottom w:w="80" w:type="dxa"/>
              <w:start w:w="120" w:type="dxa"/>
              <w:end w:w="120" w:type="dxa"/>
            </w:tcMar>
          </w:tcPr>
          <w:p>
            <w:pPr>
              <w:pStyle w:val="TableHeader"/>
            </w:pPr>
            <w:r>
              <w:t>Meaning in this project</w:t>
            </w:r>
          </w:p>
        </w:tc>
      </w:tr>
      <w:tr>
        <w:tc>
          <w:tcPr>
            <w:tcW w:type="dxa" w:w="1900"/>
            <w:vAlign w:val="center"/>
            <w:tcMar>
              <w:top w:w="80" w:type="dxa"/>
              <w:bottom w:w="80" w:type="dxa"/>
              <w:start w:w="120" w:type="dxa"/>
              <w:end w:w="120" w:type="dxa"/>
            </w:tcMar>
          </w:tcPr>
          <w:p>
            <w:pPr>
              <w:pStyle w:val="TableText"/>
            </w:pPr>
            <w:r>
              <w:t>Deterministic</w:t>
            </w:r>
          </w:p>
        </w:tc>
        <w:tc>
          <w:tcPr>
            <w:tcW w:type="dxa" w:w="7460"/>
            <w:vAlign w:val="center"/>
            <w:tcMar>
              <w:top w:w="80" w:type="dxa"/>
              <w:bottom w:w="80" w:type="dxa"/>
              <w:start w:w="120" w:type="dxa"/>
              <w:end w:w="120" w:type="dxa"/>
            </w:tcMar>
          </w:tcPr>
          <w:p>
            <w:pPr>
              <w:pStyle w:val="TableText"/>
            </w:pPr>
            <w:r>
              <w:t>Same inputs produce the same computed output without model randomness.</w:t>
            </w:r>
          </w:p>
        </w:tc>
      </w:tr>
      <w:tr>
        <w:tc>
          <w:tcPr>
            <w:tcW w:type="dxa" w:w="1900"/>
            <w:vAlign w:val="center"/>
            <w:tcMar>
              <w:top w:w="80" w:type="dxa"/>
              <w:bottom w:w="80" w:type="dxa"/>
              <w:start w:w="120" w:type="dxa"/>
              <w:end w:w="120" w:type="dxa"/>
            </w:tcMar>
          </w:tcPr>
          <w:p>
            <w:pPr>
              <w:pStyle w:val="TableText"/>
            </w:pPr>
            <w:r>
              <w:t>Grounded number</w:t>
            </w:r>
          </w:p>
        </w:tc>
        <w:tc>
          <w:tcPr>
            <w:tcW w:type="dxa" w:w="7460"/>
            <w:vAlign w:val="center"/>
            <w:tcMar>
              <w:top w:w="80" w:type="dxa"/>
              <w:bottom w:w="80" w:type="dxa"/>
              <w:start w:w="120" w:type="dxa"/>
              <w:end w:w="120" w:type="dxa"/>
            </w:tcMar>
          </w:tcPr>
          <w:p>
            <w:pPr>
              <w:pStyle w:val="TableText"/>
            </w:pPr>
            <w:r>
              <w:t>A numeric token accepted as tracing to a RiskFacts value under validator rules.</w:t>
            </w:r>
          </w:p>
        </w:tc>
      </w:tr>
      <w:tr>
        <w:tc>
          <w:tcPr>
            <w:tcW w:type="dxa" w:w="1900"/>
            <w:vAlign w:val="center"/>
            <w:tcMar>
              <w:top w:w="80" w:type="dxa"/>
              <w:bottom w:w="80" w:type="dxa"/>
              <w:start w:w="120" w:type="dxa"/>
              <w:end w:w="120" w:type="dxa"/>
            </w:tcMar>
          </w:tcPr>
          <w:p>
            <w:pPr>
              <w:pStyle w:val="TableText"/>
            </w:pPr>
            <w:r>
              <w:t>Structured Outputs</w:t>
            </w:r>
          </w:p>
        </w:tc>
        <w:tc>
          <w:tcPr>
            <w:tcW w:type="dxa" w:w="7460"/>
            <w:vAlign w:val="center"/>
            <w:tcMar>
              <w:top w:w="80" w:type="dxa"/>
              <w:bottom w:w="80" w:type="dxa"/>
              <w:start w:w="120" w:type="dxa"/>
              <w:end w:w="120" w:type="dxa"/>
            </w:tcMar>
          </w:tcPr>
          <w:p>
            <w:pPr>
              <w:pStyle w:val="TableText"/>
            </w:pPr>
            <w:r>
              <w:t>SDK/model feature that parses a response into the declared Pydantic schema.</w:t>
            </w:r>
          </w:p>
        </w:tc>
      </w:tr>
      <w:tr>
        <w:tc>
          <w:tcPr>
            <w:tcW w:type="dxa" w:w="1900"/>
            <w:vAlign w:val="center"/>
            <w:tcMar>
              <w:top w:w="80" w:type="dxa"/>
              <w:bottom w:w="80" w:type="dxa"/>
              <w:start w:w="120" w:type="dxa"/>
              <w:end w:w="120" w:type="dxa"/>
            </w:tcMar>
          </w:tcPr>
          <w:p>
            <w:pPr>
              <w:pStyle w:val="TableText"/>
            </w:pPr>
            <w:r>
              <w:t>Fail closed</w:t>
            </w:r>
          </w:p>
        </w:tc>
        <w:tc>
          <w:tcPr>
            <w:tcW w:type="dxa" w:w="7460"/>
            <w:vAlign w:val="center"/>
            <w:tcMar>
              <w:top w:w="80" w:type="dxa"/>
              <w:bottom w:w="80" w:type="dxa"/>
              <w:start w:w="120" w:type="dxa"/>
              <w:end w:w="120" w:type="dxa"/>
            </w:tcMar>
          </w:tcPr>
          <w:p>
            <w:pPr>
              <w:pStyle w:val="TableText"/>
            </w:pPr>
            <w:r>
              <w:t>When uncertainty persists, return deterministic safe text instead of unvalidated model prose.</w:t>
            </w:r>
          </w:p>
        </w:tc>
      </w:tr>
      <w:tr>
        <w:tc>
          <w:tcPr>
            <w:tcW w:type="dxa" w:w="1900"/>
            <w:vAlign w:val="center"/>
            <w:tcMar>
              <w:top w:w="80" w:type="dxa"/>
              <w:bottom w:w="80" w:type="dxa"/>
              <w:start w:w="120" w:type="dxa"/>
              <w:end w:w="120" w:type="dxa"/>
            </w:tcMar>
          </w:tcPr>
          <w:p>
            <w:pPr>
              <w:pStyle w:val="TableText"/>
            </w:pPr>
            <w:r>
              <w:t>Covariance</w:t>
            </w:r>
          </w:p>
        </w:tc>
        <w:tc>
          <w:tcPr>
            <w:tcW w:type="dxa" w:w="7460"/>
            <w:vAlign w:val="center"/>
            <w:tcMar>
              <w:top w:w="80" w:type="dxa"/>
              <w:bottom w:w="80" w:type="dxa"/>
              <w:start w:w="120" w:type="dxa"/>
              <w:end w:w="120" w:type="dxa"/>
            </w:tcMar>
          </w:tcPr>
          <w:p>
            <w:pPr>
              <w:pStyle w:val="TableText"/>
            </w:pPr>
            <w:r>
              <w:t>How two return series move together; required to calculate portfolio diversification.</w:t>
            </w:r>
          </w:p>
        </w:tc>
      </w:tr>
      <w:tr>
        <w:tc>
          <w:tcPr>
            <w:tcW w:type="dxa" w:w="1900"/>
            <w:vAlign w:val="center"/>
            <w:tcMar>
              <w:top w:w="80" w:type="dxa"/>
              <w:bottom w:w="80" w:type="dxa"/>
              <w:start w:w="120" w:type="dxa"/>
              <w:end w:w="120" w:type="dxa"/>
            </w:tcMar>
          </w:tcPr>
          <w:p>
            <w:pPr>
              <w:pStyle w:val="TableText"/>
            </w:pPr>
            <w:r>
              <w:t>HHI</w:t>
            </w:r>
          </w:p>
        </w:tc>
        <w:tc>
          <w:tcPr>
            <w:tcW w:type="dxa" w:w="7460"/>
            <w:vAlign w:val="center"/>
            <w:tcMar>
              <w:top w:w="80" w:type="dxa"/>
              <w:bottom w:w="80" w:type="dxa"/>
              <w:start w:w="120" w:type="dxa"/>
              <w:end w:w="120" w:type="dxa"/>
            </w:tcMar>
          </w:tcPr>
          <w:p>
            <w:pPr>
              <w:pStyle w:val="TableText"/>
            </w:pPr>
            <w:r>
              <w:t>Sum of squared value weights; a concentration measure.</w:t>
            </w:r>
          </w:p>
        </w:tc>
      </w:tr>
      <w:tr>
        <w:tc>
          <w:tcPr>
            <w:tcW w:type="dxa" w:w="1900"/>
            <w:vAlign w:val="center"/>
            <w:tcMar>
              <w:top w:w="80" w:type="dxa"/>
              <w:bottom w:w="80" w:type="dxa"/>
              <w:start w:w="120" w:type="dxa"/>
              <w:end w:w="120" w:type="dxa"/>
            </w:tcMar>
          </w:tcPr>
          <w:p>
            <w:pPr>
              <w:pStyle w:val="TableText"/>
            </w:pPr>
            <w:r>
              <w:t>Max drawdown</w:t>
            </w:r>
          </w:p>
        </w:tc>
        <w:tc>
          <w:tcPr>
            <w:tcW w:type="dxa" w:w="7460"/>
            <w:vAlign w:val="center"/>
            <w:tcMar>
              <w:top w:w="80" w:type="dxa"/>
              <w:bottom w:w="80" w:type="dxa"/>
              <w:start w:w="120" w:type="dxa"/>
              <w:end w:w="120" w:type="dxa"/>
            </w:tcMar>
          </w:tcPr>
          <w:p>
            <w:pPr>
              <w:pStyle w:val="TableText"/>
            </w:pPr>
            <w:r>
              <w:t>Worst historical percentage decline from a running portfolio peak.</w:t>
            </w:r>
          </w:p>
        </w:tc>
      </w:tr>
      <w:tr>
        <w:tc>
          <w:tcPr>
            <w:tcW w:type="dxa" w:w="1900"/>
            <w:vAlign w:val="center"/>
            <w:tcMar>
              <w:top w:w="80" w:type="dxa"/>
              <w:bottom w:w="80" w:type="dxa"/>
              <w:start w:w="120" w:type="dxa"/>
              <w:end w:w="120" w:type="dxa"/>
            </w:tcMar>
          </w:tcPr>
          <w:p>
            <w:pPr>
              <w:pStyle w:val="TableText"/>
            </w:pPr>
            <w:r>
              <w:t>Server Component</w:t>
            </w:r>
          </w:p>
        </w:tc>
        <w:tc>
          <w:tcPr>
            <w:tcW w:type="dxa" w:w="7460"/>
            <w:vAlign w:val="center"/>
            <w:tcMar>
              <w:top w:w="80" w:type="dxa"/>
              <w:bottom w:w="80" w:type="dxa"/>
              <w:start w:w="120" w:type="dxa"/>
              <w:end w:w="120" w:type="dxa"/>
            </w:tcMar>
          </w:tcPr>
          <w:p>
            <w:pPr>
              <w:pStyle w:val="TableText"/>
            </w:pPr>
            <w:r>
              <w:t>React component rendered on the Next.js server, able to use server-only configuration.</w:t>
            </w:r>
          </w:p>
        </w:tc>
      </w:tr>
      <w:tr>
        <w:tc>
          <w:tcPr>
            <w:tcW w:type="dxa" w:w="1900"/>
            <w:vAlign w:val="center"/>
            <w:tcMar>
              <w:top w:w="80" w:type="dxa"/>
              <w:bottom w:w="80" w:type="dxa"/>
              <w:start w:w="120" w:type="dxa"/>
              <w:end w:w="120" w:type="dxa"/>
            </w:tcMar>
          </w:tcPr>
          <w:p>
            <w:pPr>
              <w:pStyle w:val="TableText"/>
            </w:pPr>
            <w:r>
              <w:t>Fixture</w:t>
            </w:r>
          </w:p>
        </w:tc>
        <w:tc>
          <w:tcPr>
            <w:tcW w:type="dxa" w:w="7460"/>
            <w:vAlign w:val="center"/>
            <w:tcMar>
              <w:top w:w="80" w:type="dxa"/>
              <w:bottom w:w="80" w:type="dxa"/>
              <w:start w:w="120" w:type="dxa"/>
              <w:end w:w="120" w:type="dxa"/>
            </w:tcMar>
          </w:tcPr>
          <w:p>
            <w:pPr>
              <w:pStyle w:val="TableText"/>
            </w:pPr>
            <w:r>
              <w:t>Committed deterministic example output used for tests or demo fallback.</w:t>
            </w:r>
          </w:p>
        </w:tc>
      </w:tr>
    </w:tbl>
    <w:p>
      <w:pPr>
        <w:spacing w:after="40"/>
      </w:pPr>
    </w:p>
    <w:p>
      <w:pPr>
        <w:pStyle w:val="Heading2"/>
      </w:pPr>
      <w:r>
        <w:t>Last check before an interview</w:t>
      </w:r>
    </w:p>
    <w:p>
      <w:pPr>
        <w:numPr>
          <w:ilvl w:val="0"/>
          <w:numId w:val="51"/>
        </w:numPr>
        <w:spacing w:after="80" w:line="300" w:lineRule="auto"/>
      </w:pPr>
      <w:r>
        <w:t>Can I explain the project without saying ‘AI’ for the first 20 seconds?</w:t>
      </w:r>
    </w:p>
    <w:p>
      <w:pPr>
        <w:numPr>
          <w:ilvl w:val="0"/>
          <w:numId w:val="51"/>
        </w:numPr>
        <w:spacing w:after="80" w:line="300" w:lineRule="auto"/>
      </w:pPr>
      <w:r>
        <w:t>Can I derive the 67.0 score and describe the volatility formula?</w:t>
      </w:r>
    </w:p>
    <w:p>
      <w:pPr>
        <w:numPr>
          <w:ilvl w:val="0"/>
          <w:numId w:val="51"/>
        </w:numPr>
        <w:spacing w:after="80" w:line="300" w:lineRule="auto"/>
      </w:pPr>
      <w:r>
        <w:t>Can I state exactly what Structured Outputs does not guarantee?</w:t>
      </w:r>
    </w:p>
    <w:p>
      <w:pPr>
        <w:numPr>
          <w:ilvl w:val="0"/>
          <w:numId w:val="51"/>
        </w:numPr>
        <w:spacing w:after="80" w:line="300" w:lineRule="auto"/>
      </w:pPr>
      <w:r>
        <w:t>Can I name the two independent fallbacks and why each exists?</w:t>
      </w:r>
    </w:p>
    <w:p>
      <w:pPr>
        <w:numPr>
          <w:ilvl w:val="0"/>
          <w:numId w:val="51"/>
        </w:numPr>
        <w:spacing w:after="80" w:line="300" w:lineRule="auto"/>
      </w:pPr>
      <w:r>
        <w:t>Can I distinguish fixture evidence from live-model evidence?</w:t>
      </w:r>
    </w:p>
    <w:p>
      <w:pPr>
        <w:numPr>
          <w:ilvl w:val="0"/>
          <w:numId w:val="51"/>
        </w:numPr>
        <w:spacing w:after="80" w:line="300" w:lineRule="auto"/>
      </w:pPr>
      <w:r>
        <w:t>Can I admit three limitations and propose concrete fixes?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color w:val="5B6570"/>
        <w:sz w:val="17"/>
      </w:rPr>
      <w:t xml:space="preserve">PAGE </w:t>
    </w:r>
    <w:r>
      <w:rPr>
        <w:rFonts w:ascii="Calibri" w:hAnsi="Calibri"/>
        <w:color w:val="5B6570"/>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5B6570"/>
        <w:sz w:val="17"/>
      </w:rPr>
      <w:t>RISK PILOT AI</w:t>
    </w:r>
    <w:r>
      <w:tab/>
    </w:r>
    <w:r>
      <w:rPr>
        <w:rFonts w:ascii="Calibri" w:hAnsi="Calibri"/>
        <w:b/>
        <w:color w:val="5B6570"/>
        <w:sz w:val="17"/>
      </w:rPr>
      <w:t>PROJECT INTERVIEW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1">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51">
    <w:abstractNumId w:val="51"/>
  </w:num>
  <w:abstractNum w:abstractNumId="52">
    <w:multiLevelType w:val="singleLevel"/>
    <w:lvl w:ilvl="0">
      <w:start w:val="1"/>
      <w:numFmt w:val="decimal"/>
      <w:lvlText w:val="%1."/>
      <w:suff w:val="tab"/>
      <w:pPr>
        <w:tabs>
          <w:tab w:val="num" w:pos="540"/>
        </w:tabs>
        <w:ind w:left="540" w:hanging="270"/>
        <w:spacing w:after="80" w:line="300" w:lineRule="auto"/>
      </w:pPr>
    </w:lvl>
  </w:abstract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E28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before="0" w:after="200" w:line="300" w:lineRule="auto"/>
    </w:pPr>
    <w:rPr>
      <w:rFonts w:ascii="Calibri" w:hAnsi="Calibri"/>
      <w:b/>
      <w:i w:val="0"/>
      <w:color w:val="203748"/>
      <w:sz w:val="24"/>
    </w:rPr>
  </w:style>
  <w:style w:type="paragraph" w:customStyle="1" w:styleId="Callout">
    <w:name w:val="Callout"/>
    <w:basedOn w:val="Normal"/>
    <w:pPr>
      <w:spacing w:before="80" w:after="160" w:line="288" w:lineRule="auto"/>
    </w:pPr>
    <w:rPr>
      <w:rFonts w:ascii="Calibri" w:hAnsi="Calibri"/>
      <w:b w:val="0"/>
      <w:i w:val="0"/>
      <w:color w:val="1E2830"/>
      <w:sz w:val="21"/>
    </w:rPr>
  </w:style>
  <w:style w:type="paragraph" w:customStyle="1" w:styleId="Question">
    <w:name w:val="Question"/>
    <w:basedOn w:val="Normal"/>
    <w:pPr>
      <w:spacing w:before="180" w:after="60" w:line="276" w:lineRule="auto"/>
    </w:pPr>
    <w:rPr>
      <w:rFonts w:ascii="Calibri" w:hAnsi="Calibri"/>
      <w:b/>
      <w:i w:val="0"/>
      <w:color w:val="1F4D78"/>
      <w:sz w:val="23"/>
    </w:rPr>
  </w:style>
  <w:style w:type="paragraph" w:customStyle="1" w:styleId="Answer">
    <w:name w:val="Answer"/>
    <w:basedOn w:val="Normal"/>
    <w:pPr>
      <w:spacing w:before="0" w:after="120" w:line="288" w:lineRule="auto"/>
    </w:pPr>
    <w:rPr>
      <w:rFonts w:ascii="Calibri" w:hAnsi="Calibri"/>
      <w:b w:val="0"/>
      <w:i w:val="0"/>
      <w:color w:val="1E2830"/>
      <w:sz w:val="21"/>
    </w:rPr>
  </w:style>
  <w:style w:type="paragraph" w:customStyle="1" w:styleId="TableText">
    <w:name w:val="Table Text"/>
    <w:basedOn w:val="Normal"/>
    <w:pPr>
      <w:spacing w:before="0" w:after="40" w:line="264" w:lineRule="auto"/>
    </w:pPr>
    <w:rPr>
      <w:rFonts w:ascii="Calibri" w:hAnsi="Calibri"/>
      <w:b w:val="0"/>
      <w:i w:val="0"/>
      <w:color w:val="1E2830"/>
      <w:sz w:val="18"/>
    </w:rPr>
  </w:style>
  <w:style w:type="paragraph" w:customStyle="1" w:styleId="TableHeader">
    <w:name w:val="Table Header"/>
    <w:basedOn w:val="Normal"/>
    <w:pPr>
      <w:spacing w:before="0" w:after="0" w:line="252" w:lineRule="auto"/>
    </w:pPr>
    <w:rPr>
      <w:rFonts w:ascii="Calibri" w:hAnsi="Calibri"/>
      <w:b/>
      <w:i w:val="0"/>
      <w:color w:val="203748"/>
      <w:sz w:val="18"/>
    </w:rPr>
  </w:style>
  <w:style w:type="paragraph" w:customStyle="1" w:styleId="CodeBlock">
    <w:name w:val="Code Block"/>
    <w:basedOn w:val="Normal"/>
    <w:pPr>
      <w:spacing w:before="60" w:after="140" w:line="240" w:lineRule="auto"/>
    </w:pPr>
    <w:rPr>
      <w:rFonts w:ascii="Consolas" w:hAnsi="Consolas"/>
      <w:b w:val="0"/>
      <w:i w:val="0"/>
      <w:color w:val="27313A"/>
      <w:sz w:val="18"/>
    </w:rPr>
  </w:style>
  <w:style w:type="paragraph" w:customStyle="1" w:styleId="SmallNote">
    <w:name w:val="Small Note"/>
    <w:basedOn w:val="Normal"/>
    <w:pPr>
      <w:spacing w:before="0" w:after="100" w:line="264" w:lineRule="auto"/>
    </w:pPr>
    <w:rPr>
      <w:rFonts w:ascii="Calibri" w:hAnsi="Calibri"/>
      <w:b w:val="0"/>
      <w:i w:val="0"/>
      <w:color w:val="5B6570"/>
      <w:sz w:val="18"/>
    </w:rPr>
  </w:style>
  <w:style w:type="paragraph" w:customStyle="1" w:styleId="Kicker">
    <w:name w:val="Kicker"/>
    <w:basedOn w:val="Normal"/>
    <w:pPr>
      <w:spacing w:before="0" w:after="160" w:line="240" w:lineRule="auto"/>
    </w:pPr>
    <w:rPr>
      <w:rFonts w:ascii="Calibri" w:hAnsi="Calibri"/>
      <w:b/>
      <w:i w:val="0"/>
      <w:color w:val="9A6B00"/>
      <w:sz w:val="20"/>
    </w:rPr>
  </w:style>
  <w:style w:type="character" w:customStyle="1" w:styleId="CodeChar">
    <w:name w:val="Code Char"/>
    <w:rPr>
      <w:rFonts w:ascii="Consolas" w:hAnsi="Consolas"/>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RiskPilot AI — Project Architecture and Interview Guide</dc:title>
  <dc:subject>Code-grounded project study and technical interview preparation</dc:subject>
  <dc:creator>RiskPilot AI project guide</dc:creator>
  <cp:keywords>RiskPilot, FastAPI, Next.js, LLM guardrail, portfolio risk, interview</cp:keywords>
  <dc:description>Generated from repository snapshot 4c50030 on 2026-06-29.</dc:description>
  <cp:lastModifiedBy/>
  <cp:revision>1</cp:revision>
  <dcterms:created xsi:type="dcterms:W3CDTF">2013-12-23T23:15:00Z</dcterms:created>
  <dcterms:modified xsi:type="dcterms:W3CDTF">2013-12-23T23:15:00Z</dcterms:modified>
  <cp:category/>
</cp:coreProperties>
</file>