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Noto Sans CJK TC" w:hAnsi="Noto Sans CJK TC" w:eastAsia="Noto Sans CJK TC"/>
          <w:b/>
          <w:color w:val="1E3A8A"/>
          <w:sz w:val="68"/>
        </w:rPr>
        <w:t>AUTO PARTS</w:t>
        <w:br/>
      </w:r>
      <w:r>
        <w:rPr>
          <w:rFonts w:ascii="Noto Sans CJK TC" w:hAnsi="Noto Sans CJK TC" w:eastAsia="Noto Sans CJK TC"/>
          <w:b/>
          <w:color w:val="1F2937"/>
          <w:sz w:val="52"/>
        </w:rPr>
        <w:t>SALES PERFORMANCE ANALYTICS</w:t>
      </w:r>
    </w:p>
    <w:p>
      <w:pPr>
        <w:jc w:val="center"/>
        <w:pBdr>
          <w:bottom w:val="single" w:sz="18" w:space="1" w:color="2563EB"/>
        </w:pBdr>
      </w:pPr>
      <w:r>
        <w:rPr>
          <w:rFonts w:ascii="Noto Sans CJK TC" w:hAnsi="Noto Sans CJK TC" w:eastAsia="Noto Sans CJK TC"/>
          <w:b/>
          <w:color w:val="2563EB"/>
          <w:sz w:val="38"/>
        </w:rPr>
        <w:t>Power BI End-to-End 專案文件</w:t>
      </w:r>
    </w:p>
    <w:p>
      <w:pPr>
        <w:spacing w:after="360" w:line="276" w:lineRule="auto"/>
        <w:jc w:val="center"/>
      </w:pPr>
      <w:r>
        <w:rPr>
          <w:rFonts w:ascii="Noto Sans CJK TC" w:hAnsi="Noto Sans CJK TC" w:eastAsia="Noto Sans CJK TC"/>
          <w:b w:val="0"/>
          <w:i w:val="0"/>
          <w:color w:val="475569"/>
          <w:sz w:val="24"/>
        </w:rPr>
        <w:t>SQL Server → Power Query → Data Model → DAX → Four-Page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018"/>
            <w:shd w:fill="EFF6FF"/>
            <w:tcBorders>
              <w:bottom w:val="single" w:sz="4" w:color="DDE3EA"/>
            </w:tcBorders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20"/>
              </w:rPr>
              <w:t>Prepared for</w:t>
            </w:r>
          </w:p>
        </w:tc>
        <w:tc>
          <w:tcPr>
            <w:tcW w:type="dxa" w:w="5018"/>
            <w:shd w:fill="FFFFFF"/>
            <w:tcBorders>
              <w:bottom w:val="single" w:sz="4" w:color="DDE3EA"/>
            </w:tcBorders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20"/>
              </w:rPr>
              <w:t>Kay-King Wo</w:t>
            </w:r>
          </w:p>
        </w:tc>
      </w:tr>
      <w:tr>
        <w:trPr>
          <w:cantSplit/>
        </w:trPr>
        <w:tc>
          <w:tcPr>
            <w:tcW w:type="dxa" w:w="5018"/>
            <w:shd w:fill="EFF6FF"/>
            <w:tcBorders>
              <w:bottom w:val="single" w:sz="4" w:color="DDE3EA"/>
            </w:tcBorders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20"/>
              </w:rPr>
              <w:t>Project period</w:t>
            </w:r>
          </w:p>
        </w:tc>
        <w:tc>
          <w:tcPr>
            <w:tcW w:type="dxa" w:w="5018"/>
            <w:shd w:fill="FFFFFF"/>
            <w:tcBorders>
              <w:bottom w:val="single" w:sz="4" w:color="DDE3EA"/>
            </w:tcBorders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20"/>
              </w:rPr>
              <w:t>2024–2025 synthetic business data</w:t>
            </w:r>
          </w:p>
        </w:tc>
      </w:tr>
      <w:tr>
        <w:trPr>
          <w:cantSplit/>
        </w:trPr>
        <w:tc>
          <w:tcPr>
            <w:tcW w:type="dxa" w:w="5018"/>
            <w:shd w:fill="EFF6FF"/>
            <w:tcBorders>
              <w:bottom w:val="single" w:sz="4" w:color="DDE3EA"/>
            </w:tcBorders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20"/>
              </w:rPr>
              <w:t>Final report file</w:t>
            </w:r>
          </w:p>
        </w:tc>
        <w:tc>
          <w:tcPr>
            <w:tcW w:type="dxa" w:w="5018"/>
            <w:shd w:fill="FFFFFF"/>
            <w:tcBorders>
              <w:bottom w:val="single" w:sz="4" w:color="DDE3EA"/>
            </w:tcBorders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20"/>
              </w:rPr>
              <w:t>AutoParts Dashboard v03 Final (.pbix)</w:t>
            </w:r>
          </w:p>
        </w:tc>
      </w:tr>
      <w:tr>
        <w:trPr>
          <w:cantSplit/>
        </w:trPr>
        <w:tc>
          <w:tcPr>
            <w:tcW w:type="dxa" w:w="5018"/>
            <w:shd w:fill="EFF6FF"/>
            <w:tcBorders>
              <w:bottom w:val="single" w:sz="4" w:color="DDE3EA"/>
            </w:tcBorders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20"/>
              </w:rPr>
              <w:t>Documentation focus</w:t>
            </w:r>
          </w:p>
        </w:tc>
        <w:tc>
          <w:tcPr>
            <w:tcW w:type="dxa" w:w="5018"/>
            <w:shd w:fill="FFFFFF"/>
            <w:tcBorders>
              <w:bottom w:val="single" w:sz="4" w:color="DDE3EA"/>
            </w:tcBorders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20"/>
              </w:rPr>
              <w:t>建置流程、DAX、資料模型與四頁 Dashboard 設計</w:t>
            </w:r>
          </w:p>
        </w:tc>
      </w:tr>
    </w:tbl>
    <w:p>
      <w:pPr>
        <w:spacing w:after="0" w:line="276" w:lineRule="auto"/>
        <w:jc w:val="center"/>
      </w:pPr>
      <w:r>
        <w:rPr>
          <w:rFonts w:ascii="Noto Sans CJK TC" w:hAnsi="Noto Sans CJK TC" w:eastAsia="Noto Sans CJK TC"/>
          <w:b w:val="0"/>
          <w:i w:val="0"/>
          <w:color w:val="475569"/>
          <w:sz w:val="21"/>
        </w:rPr>
        <w:t>本文件記錄 Power BI 階段的完整做法，並簡要串接前段 SQL Database 流程。視覺美化與格式調整僅保留核心原則，重點放在資料如何進入 Power BI、如何建立分析模型、DAX KPI 如何定義，以及四個報表頁面如何回答商業問題。</w:t>
      </w:r>
    </w:p>
    <w:p>
      <w:r>
        <w:br w:type="page"/>
      </w:r>
    </w:p>
    <w:p>
      <w:pPr>
        <w:pStyle w:val="Heading1"/>
      </w:pPr>
      <w:r>
        <w:t>1. 專案摘要與商業目標</w:t>
      </w:r>
    </w:p>
    <w:p>
      <w:pPr>
        <w:spacing w:after="100" w:line="276" w:lineRule="auto"/>
      </w:pPr>
      <w:r>
        <w:rPr>
          <w:rFonts w:ascii="Noto Sans CJK TC" w:hAnsi="Noto Sans CJK TC" w:eastAsia="Noto Sans CJK TC"/>
          <w:b w:val="0"/>
          <w:i w:val="0"/>
          <w:color w:val="1F2937"/>
          <w:sz w:val="20"/>
        </w:rPr>
        <w:t>本專案模擬一家汽車零件公司的 Sales Performance Analytics 解決方案。資料來源包含訂單、產品、客戶與每月營收目標，先在 SQL Server 中建立乾淨且可驗證的關聯式資料庫，再以 Power BI 建立星型模型、DAX KPI 與四頁互動式 Dashboard。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FF6FF"/>
            <w:tcBorders>
              <w:top w:val="single" w:sz="4" w:color="CBD5E1"/>
              <w:left w:val="single" w:sz="18" w:color="2563EB"/>
              <w:bottom w:val="single" w:sz="4" w:color="CBD5E1"/>
              <w:right w:val="single" w:sz="4" w:color="CBD5E1"/>
            </w:tcBorders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E3A8A"/>
                <w:sz w:val="21"/>
              </w:rPr>
              <w:t>核心問題</w:t>
              <w:br/>
            </w:r>
            <w:r>
              <w:rPr>
                <w:rFonts w:ascii="Noto Sans CJK TC" w:hAnsi="Noto Sans CJK TC" w:eastAsia="Noto Sans CJK TC"/>
                <w:color w:val="1F2937"/>
                <w:sz w:val="19"/>
              </w:rPr>
              <w:t>管理層需要快速知道：實際營收是否達標、哪些產品與客群貢獻最高、毛利表現是否健康，以及配送準時率是否存在區域或月份差異。</w:t>
            </w:r>
          </w:p>
        </w:tc>
      </w:tr>
    </w:tbl>
    <w:p>
      <w:pPr>
        <w:spacing w:after="0"/>
      </w:pPr>
    </w:p>
    <w:p>
      <w:pPr>
        <w:pStyle w:val="Heading2"/>
      </w:pPr>
      <w:r>
        <w:t>1.1 Final Deliverable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color w:val="1F2937"/>
          <w:sz w:val="20"/>
        </w:rPr>
        <w:t>4 頁互動式 Power BI Dashboard：Executive Overview、Product Analytics、Customer Analytics、Operations Analytics。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color w:val="1F2937"/>
          <w:sz w:val="20"/>
        </w:rPr>
        <w:t>Year 與 Region 篩選邏輯可跨視覺更新，並透過 Page Navigator 在四頁間切換。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color w:val="1F2937"/>
          <w:sz w:val="20"/>
        </w:rPr>
        <w:t>14 個正式 DAX Measures，涵蓋 Revenue、Target、Profitability、Order Value 與 Delivery Performance。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color w:val="1F2937"/>
          <w:sz w:val="20"/>
        </w:rPr>
        <w:t>SQL Server 內含正式 Dimension / Fact tables、staging load、資料驗證、foreign keys 與 reusable sales view。</w:t>
      </w:r>
    </w:p>
    <w:p>
      <w:pPr>
        <w:pStyle w:val="Heading2"/>
      </w:pPr>
      <w:r>
        <w:t>1.2 Dataset Snapshot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2268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資料表</w:t>
            </w:r>
          </w:p>
        </w:tc>
        <w:tc>
          <w:tcPr>
            <w:tcW w:type="dxa" w:w="1701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筆數</w:t>
            </w:r>
          </w:p>
        </w:tc>
        <w:tc>
          <w:tcPr>
            <w:tcW w:type="dxa" w:w="5102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角色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Orders</w:t>
            </w:r>
          </w:p>
        </w:tc>
        <w:tc>
          <w:tcPr>
            <w:tcW w:type="dxa" w:w="1701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12,000</w:t>
            </w:r>
          </w:p>
        </w:tc>
        <w:tc>
          <w:tcPr>
            <w:tcW w:type="dxa" w:w="5102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核心交易事實表（Fact）</w:t>
            </w:r>
          </w:p>
        </w:tc>
      </w:tr>
      <w:tr>
        <w:trPr>
          <w:cantSplit/>
        </w:trPr>
        <w:tc>
          <w:tcPr>
            <w:tcW w:type="dxa" w:w="2268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Products</w:t>
            </w:r>
          </w:p>
        </w:tc>
        <w:tc>
          <w:tcPr>
            <w:tcW w:type="dxa" w:w="1701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72</w:t>
            </w:r>
          </w:p>
        </w:tc>
        <w:tc>
          <w:tcPr>
            <w:tcW w:type="dxa" w:w="5102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產品維度與 Standard Cost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Customers</w:t>
            </w:r>
          </w:p>
        </w:tc>
        <w:tc>
          <w:tcPr>
            <w:tcW w:type="dxa" w:w="1701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500</w:t>
            </w:r>
          </w:p>
        </w:tc>
        <w:tc>
          <w:tcPr>
            <w:tcW w:type="dxa" w:w="5102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客戶名稱、區隔與國家</w:t>
            </w:r>
          </w:p>
        </w:tc>
      </w:tr>
      <w:tr>
        <w:trPr>
          <w:cantSplit/>
        </w:trPr>
        <w:tc>
          <w:tcPr>
            <w:tcW w:type="dxa" w:w="2268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MonthlyTargets</w:t>
            </w:r>
          </w:p>
        </w:tc>
        <w:tc>
          <w:tcPr>
            <w:tcW w:type="dxa" w:w="1701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96</w:t>
            </w:r>
          </w:p>
        </w:tc>
        <w:tc>
          <w:tcPr>
            <w:tcW w:type="dxa" w:w="5102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月份 × Region 營收目標</w:t>
            </w:r>
          </w:p>
        </w:tc>
      </w:tr>
    </w:tbl>
    <w:p>
      <w:pPr>
        <w:spacing w:after="0"/>
      </w:pPr>
    </w:p>
    <w:p>
      <w:pPr>
        <w:pStyle w:val="Heading2"/>
      </w:pPr>
      <w:r>
        <w:t>1.3 最終全期間 KPI Snapshot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2835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KPI</w:t>
            </w:r>
          </w:p>
        </w:tc>
        <w:tc>
          <w:tcPr>
            <w:tcW w:type="dxa" w:w="1984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結果</w:t>
            </w:r>
          </w:p>
        </w:tc>
        <w:tc>
          <w:tcPr>
            <w:tcW w:type="dxa" w:w="4535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解讀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Total Revenue</w:t>
            </w:r>
          </w:p>
        </w:tc>
        <w:tc>
          <w:tcPr>
            <w:tcW w:type="dxa" w:w="1984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4.33 Mio.</w:t>
            </w:r>
          </w:p>
        </w:tc>
        <w:tc>
          <w:tcPr>
            <w:tcW w:type="dxa" w:w="4535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Completed orders 的折扣後營收</w:t>
            </w:r>
          </w:p>
        </w:tc>
      </w:tr>
      <w:tr>
        <w:trPr>
          <w:cantSplit/>
        </w:trPr>
        <w:tc>
          <w:tcPr>
            <w:tcW w:type="dxa" w:w="2835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Revenue Target</w:t>
            </w:r>
          </w:p>
        </w:tc>
        <w:tc>
          <w:tcPr>
            <w:tcW w:type="dxa" w:w="1984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14.42 Mio.</w:t>
            </w:r>
          </w:p>
        </w:tc>
        <w:tc>
          <w:tcPr>
            <w:tcW w:type="dxa" w:w="4535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全期間、全 Region 的營收目標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Achievement %</w:t>
            </w:r>
          </w:p>
        </w:tc>
        <w:tc>
          <w:tcPr>
            <w:tcW w:type="dxa" w:w="1984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30.0%</w:t>
            </w:r>
          </w:p>
        </w:tc>
        <w:tc>
          <w:tcPr>
            <w:tcW w:type="dxa" w:w="4535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Actual / Target</w:t>
            </w:r>
          </w:p>
        </w:tc>
      </w:tr>
      <w:tr>
        <w:trPr>
          <w:cantSplit/>
        </w:trPr>
        <w:tc>
          <w:tcPr>
            <w:tcW w:type="dxa" w:w="2835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Revenue Variance</w:t>
            </w:r>
          </w:p>
        </w:tc>
        <w:tc>
          <w:tcPr>
            <w:tcW w:type="dxa" w:w="1984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-10.09 Mio.</w:t>
            </w:r>
          </w:p>
        </w:tc>
        <w:tc>
          <w:tcPr>
            <w:tcW w:type="dxa" w:w="4535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Actual − Target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Gross Profit</w:t>
            </w:r>
          </w:p>
        </w:tc>
        <w:tc>
          <w:tcPr>
            <w:tcW w:type="dxa" w:w="1984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1.71 Mio.</w:t>
            </w:r>
          </w:p>
        </w:tc>
        <w:tc>
          <w:tcPr>
            <w:tcW w:type="dxa" w:w="4535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Revenue − Estimated Cost</w:t>
            </w:r>
          </w:p>
        </w:tc>
      </w:tr>
      <w:tr>
        <w:trPr>
          <w:cantSplit/>
        </w:trPr>
        <w:tc>
          <w:tcPr>
            <w:tcW w:type="dxa" w:w="2835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Gross Margin %</w:t>
            </w:r>
          </w:p>
        </w:tc>
        <w:tc>
          <w:tcPr>
            <w:tcW w:type="dxa" w:w="1984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39.5%</w:t>
            </w:r>
          </w:p>
        </w:tc>
        <w:tc>
          <w:tcPr>
            <w:tcW w:type="dxa" w:w="4535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Gross Profit / Revenue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Completed Orders</w:t>
            </w:r>
          </w:p>
        </w:tc>
        <w:tc>
          <w:tcPr>
            <w:tcW w:type="dxa" w:w="1984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10,527</w:t>
            </w:r>
          </w:p>
        </w:tc>
        <w:tc>
          <w:tcPr>
            <w:tcW w:type="dxa" w:w="4535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已完成的獨立訂單數</w:t>
            </w:r>
          </w:p>
        </w:tc>
      </w:tr>
      <w:tr>
        <w:trPr>
          <w:cantSplit/>
        </w:trPr>
        <w:tc>
          <w:tcPr>
            <w:tcW w:type="dxa" w:w="2835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On-Time Delivery Rate</w:t>
            </w:r>
          </w:p>
        </w:tc>
        <w:tc>
          <w:tcPr>
            <w:tcW w:type="dxa" w:w="1984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72.6%</w:t>
            </w:r>
          </w:p>
        </w:tc>
        <w:tc>
          <w:tcPr>
            <w:tcW w:type="dxa" w:w="4535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完成訂單中 DeliveryDays ≤ 4 的比例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End-to-End 架構與資料流</w:t>
      </w:r>
    </w:p>
    <w:p>
      <w:pPr>
        <w:spacing w:after="100" w:line="276" w:lineRule="auto"/>
      </w:pPr>
      <w:r>
        <w:rPr>
          <w:rFonts w:ascii="Noto Sans CJK TC" w:hAnsi="Noto Sans CJK TC" w:eastAsia="Noto Sans CJK TC"/>
          <w:b w:val="0"/>
          <w:i w:val="0"/>
          <w:color w:val="1F2937"/>
          <w:sz w:val="20"/>
        </w:rPr>
        <w:t>專案刻意採用分層架構：SQL Server 負責資料清理、型別轉換、關聯完整性與可重複查詢；Power BI 負責 semantic model、filter context、DAX business logic 與視覺化。這樣可以清楚展示 Business Analytics 與 BI Engineering 的完整流程。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160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1600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FF6FF"/>
            <w:tcBorders>
              <w:top w:val="single" w:sz="4" w:color="CBD5E1"/>
              <w:left w:val="single" w:sz="18" w:color="2563EB"/>
              <w:bottom w:val="single" w:sz="4" w:color="CBD5E1"/>
              <w:right w:val="single" w:sz="4" w:color="CBD5E1"/>
            </w:tcBorders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E3A8A"/>
                <w:sz w:val="21"/>
              </w:rPr>
              <w:t>設計原則</w:t>
              <w:br/>
            </w:r>
            <w:r>
              <w:rPr>
                <w:rFonts w:ascii="Noto Sans CJK TC" w:hAnsi="Noto Sans CJK TC" w:eastAsia="Noto Sans CJK TC"/>
                <w:color w:val="1F2937"/>
                <w:sz w:val="19"/>
              </w:rPr>
              <w:t>不要把所有邏輯塞進單一工具。SQL 處理資料品質與 reusable data layer；Power Query 處理報表端必要轉換；DAX 專注於會受 filter context 影響的 KPI。</w:t>
            </w:r>
          </w:p>
        </w:tc>
      </w:tr>
    </w:tbl>
    <w:p>
      <w:pPr>
        <w:spacing w:after="0"/>
      </w:pPr>
    </w:p>
    <w:p>
      <w:pPr>
        <w:pStyle w:val="Heading2"/>
      </w:pPr>
      <w:r>
        <w:t>2.1 分層責任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1701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402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主要工作</w:t>
            </w:r>
          </w:p>
        </w:tc>
        <w:tc>
          <w:tcPr>
            <w:tcW w:type="dxa" w:w="4535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本專案實作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Source</w:t>
            </w:r>
          </w:p>
        </w:tc>
        <w:tc>
          <w:tcPr>
            <w:tcW w:type="dxa" w:w="3402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原始資料供應</w:t>
            </w:r>
          </w:p>
        </w:tc>
        <w:tc>
          <w:tcPr>
            <w:tcW w:type="dxa" w:w="4535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4 個 CSV starter files</w:t>
            </w:r>
          </w:p>
        </w:tc>
      </w:tr>
      <w:tr>
        <w:trPr>
          <w:cantSplit/>
        </w:trPr>
        <w:tc>
          <w:tcPr>
            <w:tcW w:type="dxa" w:w="1701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SQL Database</w:t>
            </w:r>
          </w:p>
        </w:tc>
        <w:tc>
          <w:tcPr>
            <w:tcW w:type="dxa" w:w="3402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資料型別、資料品質、關聯完整性</w:t>
            </w:r>
          </w:p>
        </w:tc>
        <w:tc>
          <w:tcPr>
            <w:tcW w:type="dxa" w:w="4535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Staging、TRY_CONVERT、PK/FK、View、validation queries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Power Query</w:t>
            </w:r>
          </w:p>
        </w:tc>
        <w:tc>
          <w:tcPr>
            <w:tcW w:type="dxa" w:w="3402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報表載入與少量整形</w:t>
            </w:r>
          </w:p>
        </w:tc>
        <w:tc>
          <w:tcPr>
            <w:tcW w:type="dxa" w:w="4535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移除 navigation columns、建立 MonthStartDate</w:t>
            </w:r>
          </w:p>
        </w:tc>
      </w:tr>
      <w:tr>
        <w:trPr>
          <w:cantSplit/>
        </w:trPr>
        <w:tc>
          <w:tcPr>
            <w:tcW w:type="dxa" w:w="1701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Semantic Model</w:t>
            </w:r>
          </w:p>
        </w:tc>
        <w:tc>
          <w:tcPr>
            <w:tcW w:type="dxa" w:w="3402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定義分析關係與 filter flow</w:t>
            </w:r>
          </w:p>
        </w:tc>
        <w:tc>
          <w:tcPr>
            <w:tcW w:type="dxa" w:w="4535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Star schema、DateTable、DimRegion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DAX</w:t>
            </w:r>
          </w:p>
        </w:tc>
        <w:tc>
          <w:tcPr>
            <w:tcW w:type="dxa" w:w="3402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動態 KPI 與商業邏輯</w:t>
            </w:r>
          </w:p>
        </w:tc>
        <w:tc>
          <w:tcPr>
            <w:tcW w:type="dxa" w:w="4535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Revenue、Target、Profit、Delivery measures</w:t>
            </w:r>
          </w:p>
        </w:tc>
      </w:tr>
      <w:tr>
        <w:trPr>
          <w:cantSplit/>
        </w:trPr>
        <w:tc>
          <w:tcPr>
            <w:tcW w:type="dxa" w:w="1701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Report</w:t>
            </w:r>
          </w:p>
        </w:tc>
        <w:tc>
          <w:tcPr>
            <w:tcW w:type="dxa" w:w="3402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視覺化與決策支援</w:t>
            </w:r>
          </w:p>
        </w:tc>
        <w:tc>
          <w:tcPr>
            <w:tcW w:type="dxa" w:w="4535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4-page dashboard、slicers、navigation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SQL Server Database 流程（摘要）</w:t>
      </w:r>
    </w:p>
    <w:p>
      <w:pPr>
        <w:spacing w:after="100" w:line="276" w:lineRule="auto"/>
      </w:pPr>
      <w:r>
        <w:rPr>
          <w:rFonts w:ascii="Noto Sans CJK TC" w:hAnsi="Noto Sans CJK TC" w:eastAsia="Noto Sans CJK TC"/>
          <w:b w:val="0"/>
          <w:i w:val="0"/>
          <w:color w:val="1F2937"/>
          <w:sz w:val="20"/>
        </w:rPr>
        <w:t>完整 SQL 語法與練習紀錄已另有 SQL 專案文件；本節保留 Power BI 所依賴的資料庫流程與 business logic，讓整份專案可以從資料來源一路追到 Dashboard。</w:t>
      </w:r>
    </w:p>
    <w:p>
      <w:pPr>
        <w:pStyle w:val="Heading2"/>
      </w:pPr>
      <w:r>
        <w:t>3.1 Database Build Sequence</w:t>
      </w:r>
    </w:p>
    <w:p>
      <w:pPr>
        <w:spacing w:after="40"/>
        <w:ind w:left="369" w:hanging="369"/>
      </w:pPr>
      <w:r>
        <w:rPr>
          <w:rFonts w:ascii="Noto Sans CJK TC" w:hAnsi="Noto Sans CJK TC" w:eastAsia="Noto Sans CJK TC"/>
          <w:color w:val="1F2937"/>
          <w:sz w:val="20"/>
        </w:rPr>
        <w:t xml:space="preserve">1.  </w:t>
      </w:r>
      <w:r>
        <w:rPr>
          <w:rFonts w:ascii="Noto Sans CJK TC" w:hAnsi="Noto Sans CJK TC" w:eastAsia="Noto Sans CJK TC"/>
          <w:color w:val="1F2937"/>
          <w:sz w:val="20"/>
        </w:rPr>
        <w:t>建立 AutoPartsAnalytics database，確認 localhost / Windows Authentication 連線。</w:t>
      </w:r>
    </w:p>
    <w:p>
      <w:pPr>
        <w:spacing w:after="40"/>
        <w:ind w:left="369" w:hanging="369"/>
      </w:pPr>
      <w:r>
        <w:rPr>
          <w:rFonts w:ascii="Noto Sans CJK TC" w:hAnsi="Noto Sans CJK TC" w:eastAsia="Noto Sans CJK TC"/>
          <w:color w:val="1F2937"/>
          <w:sz w:val="20"/>
        </w:rPr>
        <w:t xml:space="preserve">2.  </w:t>
      </w:r>
      <w:r>
        <w:rPr>
          <w:rFonts w:ascii="Noto Sans CJK TC" w:hAnsi="Noto Sans CJK TC" w:eastAsia="Noto Sans CJK TC"/>
          <w:color w:val="1F2937"/>
          <w:sz w:val="20"/>
        </w:rPr>
        <w:t>建立 Products、Customers、MonthlyTargets 與 Orders 正式資料表，定義欄位型別與 primary keys。</w:t>
      </w:r>
    </w:p>
    <w:p>
      <w:pPr>
        <w:spacing w:after="40"/>
        <w:ind w:left="369" w:hanging="369"/>
      </w:pPr>
      <w:r>
        <w:rPr>
          <w:rFonts w:ascii="Noto Sans CJK TC" w:hAnsi="Noto Sans CJK TC" w:eastAsia="Noto Sans CJK TC"/>
          <w:color w:val="1F2937"/>
          <w:sz w:val="20"/>
        </w:rPr>
        <w:t xml:space="preserve">3.  </w:t>
      </w:r>
      <w:r>
        <w:rPr>
          <w:rFonts w:ascii="Noto Sans CJK TC" w:hAnsi="Noto Sans CJK TC" w:eastAsia="Noto Sans CJK TC"/>
          <w:color w:val="1F2937"/>
          <w:sz w:val="20"/>
        </w:rPr>
        <w:t>建立 Orders_Staging，先接收 CSV 原始文字資料，避免不乾淨欄位直接污染正式表。</w:t>
      </w:r>
    </w:p>
    <w:p>
      <w:pPr>
        <w:spacing w:after="40"/>
        <w:ind w:left="369" w:hanging="369"/>
      </w:pPr>
      <w:r>
        <w:rPr>
          <w:rFonts w:ascii="Noto Sans CJK TC" w:hAnsi="Noto Sans CJK TC" w:eastAsia="Noto Sans CJK TC"/>
          <w:color w:val="1F2937"/>
          <w:sz w:val="20"/>
        </w:rPr>
        <w:t xml:space="preserve">4.  </w:t>
      </w:r>
      <w:r>
        <w:rPr>
          <w:rFonts w:ascii="Noto Sans CJK TC" w:hAnsi="Noto Sans CJK TC" w:eastAsia="Noto Sans CJK TC"/>
          <w:color w:val="1F2937"/>
          <w:sz w:val="20"/>
        </w:rPr>
        <w:t>使用 NULLIF 與 TRY_CONVERT 將日期、數量、價格、折扣與配送天數安全轉型，再 INSERT 到 Orders。</w:t>
      </w:r>
    </w:p>
    <w:p>
      <w:pPr>
        <w:spacing w:after="40"/>
        <w:ind w:left="369" w:hanging="369"/>
      </w:pPr>
      <w:r>
        <w:rPr>
          <w:rFonts w:ascii="Noto Sans CJK TC" w:hAnsi="Noto Sans CJK TC" w:eastAsia="Noto Sans CJK TC"/>
          <w:color w:val="1F2937"/>
          <w:sz w:val="20"/>
        </w:rPr>
        <w:t xml:space="preserve">5.  </w:t>
      </w:r>
      <w:r>
        <w:rPr>
          <w:rFonts w:ascii="Noto Sans CJK TC" w:hAnsi="Noto Sans CJK TC" w:eastAsia="Noto Sans CJK TC"/>
          <w:color w:val="1F2937"/>
          <w:sz w:val="20"/>
        </w:rPr>
        <w:t>執行 row count、NULL、duplicate、status distribution 與 JOIN validation，確認資料載入結果。</w:t>
      </w:r>
    </w:p>
    <w:p>
      <w:pPr>
        <w:spacing w:after="40"/>
        <w:ind w:left="369" w:hanging="369"/>
      </w:pPr>
      <w:r>
        <w:rPr>
          <w:rFonts w:ascii="Noto Sans CJK TC" w:hAnsi="Noto Sans CJK TC" w:eastAsia="Noto Sans CJK TC"/>
          <w:color w:val="1F2937"/>
          <w:sz w:val="20"/>
        </w:rPr>
        <w:t xml:space="preserve">6.  </w:t>
      </w:r>
      <w:r>
        <w:rPr>
          <w:rFonts w:ascii="Noto Sans CJK TC" w:hAnsi="Noto Sans CJK TC" w:eastAsia="Noto Sans CJK TC"/>
          <w:color w:val="1F2937"/>
          <w:sz w:val="20"/>
        </w:rPr>
        <w:t>建立 Orders.CustomerID → Customers.CustomerID、Orders.ProductID → Products.ProductID 的 foreign keys。</w:t>
      </w:r>
    </w:p>
    <w:p>
      <w:pPr>
        <w:spacing w:after="40"/>
        <w:ind w:left="369" w:hanging="369"/>
      </w:pPr>
      <w:r>
        <w:rPr>
          <w:rFonts w:ascii="Noto Sans CJK TC" w:hAnsi="Noto Sans CJK TC" w:eastAsia="Noto Sans CJK TC"/>
          <w:color w:val="1F2937"/>
          <w:sz w:val="20"/>
        </w:rPr>
        <w:t xml:space="preserve">7.  </w:t>
      </w:r>
      <w:r>
        <w:rPr>
          <w:rFonts w:ascii="Noto Sans CJK TC" w:hAnsi="Noto Sans CJK TC" w:eastAsia="Noto Sans CJK TC"/>
          <w:color w:val="1F2937"/>
          <w:sz w:val="20"/>
        </w:rPr>
        <w:t>建立 dbo.vw_SalesDetails，集中計算 Revenue、Estimated Cost、Gross Profit 與 On-Time flag。</w:t>
      </w:r>
    </w:p>
    <w:p>
      <w:pPr>
        <w:spacing w:after="40"/>
        <w:ind w:left="369" w:hanging="369"/>
      </w:pPr>
      <w:r>
        <w:rPr>
          <w:rFonts w:ascii="Noto Sans CJK TC" w:hAnsi="Noto Sans CJK TC" w:eastAsia="Noto Sans CJK TC"/>
          <w:color w:val="1F2937"/>
          <w:sz w:val="20"/>
        </w:rPr>
        <w:t xml:space="preserve">8.  </w:t>
      </w:r>
      <w:r>
        <w:rPr>
          <w:rFonts w:ascii="Noto Sans CJK TC" w:hAnsi="Noto Sans CJK TC" w:eastAsia="Noto Sans CJK TC"/>
          <w:color w:val="1F2937"/>
          <w:sz w:val="20"/>
        </w:rPr>
        <w:t>以 GROUP BY、CTE 與 window functions 完成月度趨勢、排名、running total、LAG / LEAD 等進階分析。</w:t>
      </w:r>
    </w:p>
    <w:p>
      <w:pPr>
        <w:pStyle w:val="Heading2"/>
      </w:pPr>
      <w:r>
        <w:t>3.2 正式資料表角色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</w:trPr>
        <w:tc>
          <w:tcPr>
            <w:tcW w:type="dxa" w:w="1701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Table</w:t>
            </w:r>
          </w:p>
        </w:tc>
        <w:tc>
          <w:tcPr>
            <w:tcW w:type="dxa" w:w="1701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Key</w:t>
            </w:r>
          </w:p>
        </w:tc>
        <w:tc>
          <w:tcPr>
            <w:tcW w:type="dxa" w:w="3798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重要欄位</w:t>
            </w:r>
          </w:p>
        </w:tc>
        <w:tc>
          <w:tcPr>
            <w:tcW w:type="dxa" w:w="2438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6"/>
              </w:rPr>
              <w:t>Orders</w:t>
            </w:r>
          </w:p>
        </w:tc>
        <w:tc>
          <w:tcPr>
            <w:tcW w:type="dxa" w:w="1701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6"/>
              </w:rPr>
              <w:t>OrderID</w:t>
            </w:r>
          </w:p>
        </w:tc>
        <w:tc>
          <w:tcPr>
            <w:tcW w:type="dxa" w:w="3798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6"/>
              </w:rPr>
              <w:t>OrderDate, CustomerID, ProductID, Region, Quantity, UnitPrice, DiscountPct, OrderStatus, DeliveryDays</w:t>
            </w:r>
          </w:p>
        </w:tc>
        <w:tc>
          <w:tcPr>
            <w:tcW w:type="dxa" w:w="2438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6"/>
              </w:rPr>
              <w:t>核心交易資料</w:t>
            </w:r>
          </w:p>
        </w:tc>
      </w:tr>
      <w:tr>
        <w:trPr>
          <w:cantSplit/>
        </w:trPr>
        <w:tc>
          <w:tcPr>
            <w:tcW w:type="dxa" w:w="1701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6"/>
              </w:rPr>
              <w:t>Products</w:t>
            </w:r>
          </w:p>
        </w:tc>
        <w:tc>
          <w:tcPr>
            <w:tcW w:type="dxa" w:w="1701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6"/>
              </w:rPr>
              <w:t>ProductID</w:t>
            </w:r>
          </w:p>
        </w:tc>
        <w:tc>
          <w:tcPr>
            <w:tcW w:type="dxa" w:w="3798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6"/>
              </w:rPr>
              <w:t>ProductName, Category, StandardCost</w:t>
            </w:r>
          </w:p>
        </w:tc>
        <w:tc>
          <w:tcPr>
            <w:tcW w:type="dxa" w:w="2438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6"/>
              </w:rPr>
              <w:t>產品分析與成本估算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6"/>
              </w:rPr>
              <w:t>Customers</w:t>
            </w:r>
          </w:p>
        </w:tc>
        <w:tc>
          <w:tcPr>
            <w:tcW w:type="dxa" w:w="1701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6"/>
              </w:rPr>
              <w:t>CustomerID</w:t>
            </w:r>
          </w:p>
        </w:tc>
        <w:tc>
          <w:tcPr>
            <w:tcW w:type="dxa" w:w="3798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6"/>
              </w:rPr>
              <w:t>CustomerName, CustomerSegment, Country</w:t>
            </w:r>
          </w:p>
        </w:tc>
        <w:tc>
          <w:tcPr>
            <w:tcW w:type="dxa" w:w="2438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6"/>
              </w:rPr>
              <w:t>客戶與 segment 分析</w:t>
            </w:r>
          </w:p>
        </w:tc>
      </w:tr>
      <w:tr>
        <w:trPr>
          <w:cantSplit/>
        </w:trPr>
        <w:tc>
          <w:tcPr>
            <w:tcW w:type="dxa" w:w="1701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6"/>
              </w:rPr>
              <w:t>MonthlyTargets</w:t>
            </w:r>
          </w:p>
        </w:tc>
        <w:tc>
          <w:tcPr>
            <w:tcW w:type="dxa" w:w="1701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6"/>
              </w:rPr>
              <w:t>YearMonth / Region</w:t>
            </w:r>
          </w:p>
        </w:tc>
        <w:tc>
          <w:tcPr>
            <w:tcW w:type="dxa" w:w="3798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6"/>
              </w:rPr>
              <w:t>RevenueTarget</w:t>
            </w:r>
          </w:p>
        </w:tc>
        <w:tc>
          <w:tcPr>
            <w:tcW w:type="dxa" w:w="2438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6"/>
              </w:rPr>
              <w:t>Actual vs Target 比較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6"/>
              </w:rPr>
              <w:t>Orders_Staging</w:t>
            </w:r>
          </w:p>
        </w:tc>
        <w:tc>
          <w:tcPr>
            <w:tcW w:type="dxa" w:w="1701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6"/>
              </w:rPr>
              <w:t>—</w:t>
            </w:r>
          </w:p>
        </w:tc>
        <w:tc>
          <w:tcPr>
            <w:tcW w:type="dxa" w:w="3798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6"/>
              </w:rPr>
              <w:t>Raw CSV fields</w:t>
            </w:r>
          </w:p>
        </w:tc>
        <w:tc>
          <w:tcPr>
            <w:tcW w:type="dxa" w:w="2438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6"/>
              </w:rPr>
              <w:t>安全匯入與型別轉換中介層</w:t>
            </w:r>
          </w:p>
        </w:tc>
      </w:tr>
    </w:tbl>
    <w:p>
      <w:pPr>
        <w:spacing w:after="0"/>
      </w:pPr>
    </w:p>
    <w:p>
      <w:pPr>
        <w:pStyle w:val="Heading2"/>
      </w:pPr>
      <w:r>
        <w:t>3.3 SQL View 的商業邏輯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2835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6803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邏輯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GrossSales</w:t>
            </w:r>
          </w:p>
        </w:tc>
        <w:tc>
          <w:tcPr>
            <w:tcW w:type="dxa" w:w="6803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Quantity × UnitPrice</w:t>
            </w:r>
          </w:p>
        </w:tc>
      </w:tr>
      <w:tr>
        <w:trPr>
          <w:cantSplit/>
        </w:trPr>
        <w:tc>
          <w:tcPr>
            <w:tcW w:type="dxa" w:w="2835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DiscountAmount</w:t>
            </w:r>
          </w:p>
        </w:tc>
        <w:tc>
          <w:tcPr>
            <w:tcW w:type="dxa" w:w="6803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GrossSales × DiscountPct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NetSalesBeforeStatus</w:t>
            </w:r>
          </w:p>
        </w:tc>
        <w:tc>
          <w:tcPr>
            <w:tcW w:type="dxa" w:w="6803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GrossSales − DiscountAmount</w:t>
            </w:r>
          </w:p>
        </w:tc>
      </w:tr>
      <w:tr>
        <w:trPr>
          <w:cantSplit/>
        </w:trPr>
        <w:tc>
          <w:tcPr>
            <w:tcW w:type="dxa" w:w="2835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Revenue</w:t>
            </w:r>
          </w:p>
        </w:tc>
        <w:tc>
          <w:tcPr>
            <w:tcW w:type="dxa" w:w="6803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只有 OrderStatus = Completed 才計入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EstimatedCost</w:t>
            </w:r>
          </w:p>
        </w:tc>
        <w:tc>
          <w:tcPr>
            <w:tcW w:type="dxa" w:w="6803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Completed orders 的 Quantity × StandardCost</w:t>
            </w:r>
          </w:p>
        </w:tc>
      </w:tr>
      <w:tr>
        <w:trPr>
          <w:cantSplit/>
        </w:trPr>
        <w:tc>
          <w:tcPr>
            <w:tcW w:type="dxa" w:w="2835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GrossProfit</w:t>
            </w:r>
          </w:p>
        </w:tc>
        <w:tc>
          <w:tcPr>
            <w:tcW w:type="dxa" w:w="6803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Revenue − EstimatedCost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IsOnTime</w:t>
            </w:r>
          </w:p>
        </w:tc>
        <w:tc>
          <w:tcPr>
            <w:tcW w:type="dxa" w:w="6803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非 Completed 為 NULL；完成訂單 DeliveryDays ≤ 4 為 1，否則 0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0FDF4"/>
            <w:tcBorders>
              <w:top w:val="single" w:sz="4" w:color="CBD5E1"/>
              <w:left w:val="single" w:sz="18" w:color="16A34A"/>
              <w:bottom w:val="single" w:sz="4" w:color="CBD5E1"/>
              <w:right w:val="single" w:sz="4" w:color="CBD5E1"/>
            </w:tcBorders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E3A8A"/>
                <w:sz w:val="21"/>
              </w:rPr>
              <w:t>為什麼仍在 Power BI 重建 Measures？</w:t>
              <w:br/>
            </w:r>
            <w:r>
              <w:rPr>
                <w:rFonts w:ascii="Noto Sans CJK TC" w:hAnsi="Noto Sans CJK TC" w:eastAsia="Noto Sans CJK TC"/>
                <w:color w:val="1F2937"/>
                <w:sz w:val="19"/>
              </w:rPr>
              <w:t>SQL View 便於驗證逐筆邏輯；Power BI Measures 則能依 Year、Region、Product、Customer 等 filter context 即時計算。兩層邏輯彼此可交叉驗證，但用途不同。</w:t>
            </w:r>
          </w:p>
        </w:tc>
      </w:tr>
    </w:tbl>
    <w:p>
      <w:pPr>
        <w:spacing w:after="0"/>
      </w:pPr>
    </w:p>
    <w:p>
      <w:pPr>
        <w:pStyle w:val="Heading1"/>
      </w:pPr>
      <w:r>
        <w:t>4. Power BI 資料載入與 Power Query</w:t>
      </w:r>
    </w:p>
    <w:p>
      <w:pPr>
        <w:pStyle w:val="Heading2"/>
      </w:pPr>
      <w:r>
        <w:t>4.1 SQL Server Connection</w:t>
      </w:r>
    </w:p>
    <w:p>
      <w:pPr>
        <w:spacing w:after="40"/>
        <w:ind w:left="369" w:hanging="369"/>
      </w:pPr>
      <w:r>
        <w:rPr>
          <w:rFonts w:ascii="Noto Sans CJK TC" w:hAnsi="Noto Sans CJK TC" w:eastAsia="Noto Sans CJK TC"/>
          <w:color w:val="1F2937"/>
          <w:sz w:val="20"/>
        </w:rPr>
        <w:t xml:space="preserve">1.  </w:t>
      </w:r>
      <w:r>
        <w:rPr>
          <w:rFonts w:ascii="Noto Sans CJK TC" w:hAnsi="Noto Sans CJK TC" w:eastAsia="Noto Sans CJK TC"/>
          <w:color w:val="1F2937"/>
          <w:sz w:val="20"/>
        </w:rPr>
        <w:t>在 Power BI Desktop 選擇 SQL Server connector。</w:t>
      </w:r>
    </w:p>
    <w:p>
      <w:pPr>
        <w:spacing w:after="40"/>
        <w:ind w:left="369" w:hanging="369"/>
      </w:pPr>
      <w:r>
        <w:rPr>
          <w:rFonts w:ascii="Noto Sans CJK TC" w:hAnsi="Noto Sans CJK TC" w:eastAsia="Noto Sans CJK TC"/>
          <w:color w:val="1F2937"/>
          <w:sz w:val="20"/>
        </w:rPr>
        <w:t xml:space="preserve">2.  </w:t>
      </w:r>
      <w:r>
        <w:rPr>
          <w:rFonts w:ascii="Noto Sans CJK TC" w:hAnsi="Noto Sans CJK TC" w:eastAsia="Noto Sans CJK TC"/>
          <w:color w:val="1F2937"/>
          <w:sz w:val="20"/>
        </w:rPr>
        <w:t>Server 輸入 localhost，Database 輸入 AutoPartsAnalytics。</w:t>
      </w:r>
    </w:p>
    <w:p>
      <w:pPr>
        <w:spacing w:after="40"/>
        <w:ind w:left="369" w:hanging="369"/>
      </w:pPr>
      <w:r>
        <w:rPr>
          <w:rFonts w:ascii="Noto Sans CJK TC" w:hAnsi="Noto Sans CJK TC" w:eastAsia="Noto Sans CJK TC"/>
          <w:color w:val="1F2937"/>
          <w:sz w:val="20"/>
        </w:rPr>
        <w:t xml:space="preserve">3.  </w:t>
      </w:r>
      <w:r>
        <w:rPr>
          <w:rFonts w:ascii="Noto Sans CJK TC" w:hAnsi="Noto Sans CJK TC" w:eastAsia="Noto Sans CJK TC"/>
          <w:color w:val="1F2937"/>
          <w:sz w:val="20"/>
        </w:rPr>
        <w:t>使用 Import mode，選取 Customers、MonthlyTargets、Orders、Products。</w:t>
      </w:r>
    </w:p>
    <w:p>
      <w:pPr>
        <w:spacing w:after="40"/>
        <w:ind w:left="369" w:hanging="369"/>
      </w:pPr>
      <w:r>
        <w:rPr>
          <w:rFonts w:ascii="Noto Sans CJK TC" w:hAnsi="Noto Sans CJK TC" w:eastAsia="Noto Sans CJK TC"/>
          <w:color w:val="1F2937"/>
          <w:sz w:val="20"/>
        </w:rPr>
        <w:t xml:space="preserve">4.  </w:t>
      </w:r>
      <w:r>
        <w:rPr>
          <w:rFonts w:ascii="Noto Sans CJK TC" w:hAnsi="Noto Sans CJK TC" w:eastAsia="Noto Sans CJK TC"/>
          <w:color w:val="1F2937"/>
          <w:sz w:val="20"/>
        </w:rPr>
        <w:t>不匯入 Orders_Staging，因其只是 ETL 中介層；也不匯入 vw_SalesDetails，避免與正式表重複形成不必要模型。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FF6FF"/>
            <w:tcBorders>
              <w:top w:val="single" w:sz="4" w:color="CBD5E1"/>
              <w:left w:val="single" w:sz="18" w:color="2563EB"/>
              <w:bottom w:val="single" w:sz="4" w:color="CBD5E1"/>
              <w:right w:val="single" w:sz="4" w:color="CBD5E1"/>
            </w:tcBorders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E3A8A"/>
                <w:sz w:val="21"/>
              </w:rPr>
              <w:t>Import Mode 的選擇</w:t>
              <w:br/>
            </w:r>
            <w:r>
              <w:rPr>
                <w:rFonts w:ascii="Noto Sans CJK TC" w:hAnsi="Noto Sans CJK TC" w:eastAsia="Noto Sans CJK TC"/>
                <w:color w:val="1F2937"/>
                <w:sz w:val="19"/>
              </w:rPr>
              <w:t>此專案資料量小且以作品集展示為目的，Import mode 可提供較快的互動與完整 DAX 能力。</w:t>
            </w:r>
          </w:p>
        </w:tc>
      </w:tr>
    </w:tbl>
    <w:p>
      <w:pPr>
        <w:spacing w:after="0"/>
      </w:pPr>
    </w:p>
    <w:p>
      <w:pPr>
        <w:pStyle w:val="Heading2"/>
      </w:pPr>
      <w:r>
        <w:t>4.2 Power Query Cleanup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2551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Query</w:t>
            </w:r>
          </w:p>
        </w:tc>
        <w:tc>
          <w:tcPr>
            <w:tcW w:type="dxa" w:w="7087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處理</w:t>
            </w:r>
          </w:p>
        </w:tc>
      </w:tr>
      <w:tr>
        <w:trPr>
          <w:cantSplit/>
        </w:trPr>
        <w:tc>
          <w:tcPr>
            <w:tcW w:type="dxa" w:w="2551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Products</w:t>
            </w:r>
          </w:p>
        </w:tc>
        <w:tc>
          <w:tcPr>
            <w:tcW w:type="dxa" w:w="7087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移除 Orders navigation column</w:t>
            </w:r>
          </w:p>
        </w:tc>
      </w:tr>
      <w:tr>
        <w:trPr>
          <w:cantSplit/>
        </w:trPr>
        <w:tc>
          <w:tcPr>
            <w:tcW w:type="dxa" w:w="2551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Orders</w:t>
            </w:r>
          </w:p>
        </w:tc>
        <w:tc>
          <w:tcPr>
            <w:tcW w:type="dxa" w:w="7087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移除 Customers、Products navigation columns</w:t>
            </w:r>
          </w:p>
        </w:tc>
      </w:tr>
      <w:tr>
        <w:trPr>
          <w:cantSplit/>
        </w:trPr>
        <w:tc>
          <w:tcPr>
            <w:tcW w:type="dxa" w:w="2551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Customers</w:t>
            </w:r>
          </w:p>
        </w:tc>
        <w:tc>
          <w:tcPr>
            <w:tcW w:type="dxa" w:w="7087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移除 Orders navigation column</w:t>
            </w:r>
          </w:p>
        </w:tc>
      </w:tr>
      <w:tr>
        <w:trPr>
          <w:cantSplit/>
        </w:trPr>
        <w:tc>
          <w:tcPr>
            <w:tcW w:type="dxa" w:w="2551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MonthlyTargets</w:t>
            </w:r>
          </w:p>
        </w:tc>
        <w:tc>
          <w:tcPr>
            <w:tcW w:type="dxa" w:w="7087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從文字 YearMonth 建立真正日期欄 MonthStartDate</w:t>
            </w:r>
          </w:p>
        </w:tc>
      </w:tr>
    </w:tbl>
    <w:p>
      <w:pPr>
        <w:spacing w:after="0"/>
      </w:pPr>
    </w:p>
    <w:p>
      <w:pPr>
        <w:pStyle w:val="Heading2"/>
      </w:pPr>
      <w:r>
        <w:t>4.3 MonthStartDate M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80" w:after="80" w:line="240" w:lineRule="auto"/>
            </w:pPr>
            <w:r>
              <w:rPr>
                <w:rFonts w:ascii="DejaVu Sans Mono" w:hAnsi="DejaVu Sans Mono" w:eastAsia="DejaVu Sans Mono"/>
                <w:color w:val="0F172A"/>
                <w:sz w:val="17"/>
              </w:rPr>
              <w:t>#date(</w:t>
              <w:br/>
            </w:r>
            <w:r>
              <w:rPr>
                <w:rFonts w:ascii="DejaVu Sans Mono" w:hAnsi="DejaVu Sans Mono" w:eastAsia="DejaVu Sans Mono"/>
                <w:color w:val="0F172A"/>
                <w:sz w:val="17"/>
              </w:rPr>
              <w:t xml:space="preserve">    Number.FromText(Text.Start([YearMonth], 4)),</w:t>
              <w:br/>
            </w:r>
            <w:r>
              <w:rPr>
                <w:rFonts w:ascii="DejaVu Sans Mono" w:hAnsi="DejaVu Sans Mono" w:eastAsia="DejaVu Sans Mono"/>
                <w:color w:val="0F172A"/>
                <w:sz w:val="17"/>
              </w:rPr>
              <w:t xml:space="preserve">    Number.FromText(Text.End([YearMonth], 2)),</w:t>
              <w:br/>
            </w:r>
            <w:r>
              <w:rPr>
                <w:rFonts w:ascii="DejaVu Sans Mono" w:hAnsi="DejaVu Sans Mono" w:eastAsia="DejaVu Sans Mono"/>
                <w:color w:val="0F172A"/>
                <w:sz w:val="17"/>
              </w:rPr>
              <w:t xml:space="preserve">    1</w:t>
              <w:br/>
            </w:r>
            <w:r>
              <w:rPr>
                <w:rFonts w:ascii="DejaVu Sans Mono" w:hAnsi="DejaVu Sans Mono" w:eastAsia="DejaVu Sans Mono"/>
                <w:color w:val="0F172A"/>
                <w:sz w:val="17"/>
              </w:rPr>
              <w:t>)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Noto Sans CJK TC" w:hAnsi="Noto Sans CJK TC" w:eastAsia="Noto Sans CJK TC"/>
          <w:b w:val="0"/>
          <w:i w:val="0"/>
          <w:color w:val="1F2937"/>
          <w:sz w:val="20"/>
        </w:rPr>
        <w:t>MonthStartDate 的目的不是改變顯示文字，而是讓 MonthlyTargets 可以與 DateTable 建立正式日期關係。若只保留文字 YearMonth，時間智慧與跨表篩選會更脆弱。</w:t>
      </w:r>
    </w:p>
    <w:p>
      <w:pPr>
        <w:pStyle w:val="Heading2"/>
      </w:pPr>
      <w:r>
        <w:t>4.4 Close &amp; Apply Verification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color w:val="1F2937"/>
          <w:sz w:val="20"/>
        </w:rPr>
        <w:t>四張正式資料表都可在 Data / Model view 中看到。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color w:val="1F2937"/>
          <w:sz w:val="20"/>
        </w:rPr>
        <w:t>日期、數值與百分比欄位型別正確。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color w:val="1F2937"/>
          <w:sz w:val="20"/>
        </w:rPr>
        <w:t>Orders、Products、Customers 的 SQL relationships 被正確載入或手動確認。</w:t>
      </w:r>
    </w:p>
    <w:p>
      <w:r>
        <w:br w:type="page"/>
      </w:r>
    </w:p>
    <w:p>
      <w:pPr>
        <w:pStyle w:val="Heading1"/>
      </w:pPr>
      <w:r>
        <w:t>5. Semantic Model 與 Star Schema</w:t>
      </w:r>
    </w:p>
    <w:p>
      <w:pPr>
        <w:spacing w:after="100" w:line="276" w:lineRule="auto"/>
      </w:pPr>
      <w:r>
        <w:rPr>
          <w:rFonts w:ascii="Noto Sans CJK TC" w:hAnsi="Noto Sans CJK TC" w:eastAsia="Noto Sans CJK TC"/>
          <w:b w:val="0"/>
          <w:i w:val="0"/>
          <w:color w:val="1F2937"/>
          <w:sz w:val="20"/>
        </w:rPr>
        <w:t>模型採用 Orders 作為中心 Fact table。Products、Customers、DateTable 與 DimRegion 以 1 → *、single-direction、active relationships 連接到 Orders；DateTable 與 DimRegion 同時連接 MonthlyTargets，使 Actual 與 Target 可以被同一組日期與區域篩選。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2893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289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5.1 Relationships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</w:trPr>
        <w:tc>
          <w:tcPr>
            <w:tcW w:type="dxa" w:w="2324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From (1)</w:t>
            </w:r>
          </w:p>
        </w:tc>
        <w:tc>
          <w:tcPr>
            <w:tcW w:type="dxa" w:w="2948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To (*)</w:t>
            </w:r>
          </w:p>
        </w:tc>
        <w:tc>
          <w:tcPr>
            <w:tcW w:type="dxa" w:w="1417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Cross-filter</w:t>
            </w:r>
          </w:p>
        </w:tc>
        <w:tc>
          <w:tcPr>
            <w:tcW w:type="dxa" w:w="2948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Products[ProductID]</w:t>
            </w:r>
          </w:p>
        </w:tc>
        <w:tc>
          <w:tcPr>
            <w:tcW w:type="dxa" w:w="2948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Orders[ProductID]</w:t>
            </w:r>
          </w:p>
        </w:tc>
        <w:tc>
          <w:tcPr>
            <w:tcW w:type="dxa" w:w="1417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Single</w:t>
            </w:r>
          </w:p>
        </w:tc>
        <w:tc>
          <w:tcPr>
            <w:tcW w:type="dxa" w:w="2948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Product / Category 分析</w:t>
            </w:r>
          </w:p>
        </w:tc>
      </w:tr>
      <w:tr>
        <w:trPr>
          <w:cantSplit/>
        </w:trPr>
        <w:tc>
          <w:tcPr>
            <w:tcW w:type="dxa" w:w="2324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Customers[CustomerID]</w:t>
            </w:r>
          </w:p>
        </w:tc>
        <w:tc>
          <w:tcPr>
            <w:tcW w:type="dxa" w:w="2948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Orders[CustomerID]</w:t>
            </w:r>
          </w:p>
        </w:tc>
        <w:tc>
          <w:tcPr>
            <w:tcW w:type="dxa" w:w="1417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Single</w:t>
            </w:r>
          </w:p>
        </w:tc>
        <w:tc>
          <w:tcPr>
            <w:tcW w:type="dxa" w:w="2948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Customer / Segment 分析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DateTable[Date]</w:t>
            </w:r>
          </w:p>
        </w:tc>
        <w:tc>
          <w:tcPr>
            <w:tcW w:type="dxa" w:w="2948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Orders[OrderDate]</w:t>
            </w:r>
          </w:p>
        </w:tc>
        <w:tc>
          <w:tcPr>
            <w:tcW w:type="dxa" w:w="1417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Single</w:t>
            </w:r>
          </w:p>
        </w:tc>
        <w:tc>
          <w:tcPr>
            <w:tcW w:type="dxa" w:w="2948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訂單時間篩選</w:t>
            </w:r>
          </w:p>
        </w:tc>
      </w:tr>
      <w:tr>
        <w:trPr>
          <w:cantSplit/>
        </w:trPr>
        <w:tc>
          <w:tcPr>
            <w:tcW w:type="dxa" w:w="2324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DateTable[Date]</w:t>
            </w:r>
          </w:p>
        </w:tc>
        <w:tc>
          <w:tcPr>
            <w:tcW w:type="dxa" w:w="2948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MonthlyTargets[MonthStartDate]</w:t>
            </w:r>
          </w:p>
        </w:tc>
        <w:tc>
          <w:tcPr>
            <w:tcW w:type="dxa" w:w="1417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Single</w:t>
            </w:r>
          </w:p>
        </w:tc>
        <w:tc>
          <w:tcPr>
            <w:tcW w:type="dxa" w:w="2948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目標時間篩選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DimRegion[Region]</w:t>
            </w:r>
          </w:p>
        </w:tc>
        <w:tc>
          <w:tcPr>
            <w:tcW w:type="dxa" w:w="2948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Orders[Region]</w:t>
            </w:r>
          </w:p>
        </w:tc>
        <w:tc>
          <w:tcPr>
            <w:tcW w:type="dxa" w:w="1417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Single</w:t>
            </w:r>
          </w:p>
        </w:tc>
        <w:tc>
          <w:tcPr>
            <w:tcW w:type="dxa" w:w="2948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Actual 區域篩選</w:t>
            </w:r>
          </w:p>
        </w:tc>
      </w:tr>
      <w:tr>
        <w:trPr>
          <w:cantSplit/>
        </w:trPr>
        <w:tc>
          <w:tcPr>
            <w:tcW w:type="dxa" w:w="2324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DimRegion[Region]</w:t>
            </w:r>
          </w:p>
        </w:tc>
        <w:tc>
          <w:tcPr>
            <w:tcW w:type="dxa" w:w="2948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MonthlyTargets[Region]</w:t>
            </w:r>
          </w:p>
        </w:tc>
        <w:tc>
          <w:tcPr>
            <w:tcW w:type="dxa" w:w="1417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Single</w:t>
            </w:r>
          </w:p>
        </w:tc>
        <w:tc>
          <w:tcPr>
            <w:tcW w:type="dxa" w:w="2948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Target 區域篩選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FF6FF"/>
            <w:tcBorders>
              <w:top w:val="single" w:sz="4" w:color="CBD5E1"/>
              <w:left w:val="single" w:sz="18" w:color="2563EB"/>
              <w:bottom w:val="single" w:sz="4" w:color="CBD5E1"/>
              <w:right w:val="single" w:sz="4" w:color="CBD5E1"/>
            </w:tcBorders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E3A8A"/>
                <w:sz w:val="21"/>
              </w:rPr>
              <w:t>避免直接用 Orders[Region] 當共用 slicer</w:t>
              <w:br/>
            </w:r>
            <w:r>
              <w:rPr>
                <w:rFonts w:ascii="Noto Sans CJK TC" w:hAnsi="Noto Sans CJK TC" w:eastAsia="Noto Sans CJK TC"/>
                <w:color w:val="1F2937"/>
                <w:sz w:val="19"/>
              </w:rPr>
              <w:t>若 Region slicer 只來自 Orders，它不一定能正確篩選 MonthlyTargets。建立 DimRegion 後，Actual 與 Target 共用同一個維度，模型邏輯更清楚。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DAX Calculated Tables</w:t>
      </w:r>
    </w:p>
    <w:p>
      <w:pPr>
        <w:pStyle w:val="Heading2"/>
      </w:pPr>
      <w:r>
        <w:t>6.1 DateTable</w:t>
      </w:r>
    </w:p>
    <w:p>
      <w:pPr>
        <w:spacing w:after="100" w:line="276" w:lineRule="auto"/>
      </w:pPr>
      <w:r>
        <w:rPr>
          <w:rFonts w:ascii="Noto Sans CJK TC" w:hAnsi="Noto Sans CJK TC" w:eastAsia="Noto Sans CJK TC"/>
          <w:b w:val="0"/>
          <w:i w:val="0"/>
          <w:color w:val="1F2937"/>
          <w:sz w:val="20"/>
        </w:rPr>
        <w:t>DateTable 的日期範圍同時參考 Orders 與 MonthlyTargets，並擴展到起始年 1 月 1 日與結束年 12 月 31 日，避免只依訂單日期而漏掉目標月份。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80" w:after="80" w:line="240" w:lineRule="auto"/>
            </w:pPr>
            <w:r>
              <w:rPr>
                <w:rFonts w:ascii="DejaVu Sans Mono" w:hAnsi="DejaVu Sans Mono" w:eastAsia="DejaVu Sans Mono"/>
                <w:color w:val="0F172A"/>
                <w:sz w:val="15"/>
              </w:rPr>
              <w:t>DateTable =</w:t>
              <w:br/>
            </w:r>
            <w:r>
              <w:rPr>
                <w:rFonts w:ascii="DejaVu Sans Mono" w:hAnsi="DejaVu Sans Mono" w:eastAsia="DejaVu Sans Mono"/>
                <w:color w:val="0F172A"/>
                <w:sz w:val="15"/>
              </w:rPr>
              <w:t>VAR AllBusinessDates =</w:t>
              <w:br/>
            </w:r>
            <w:r>
              <w:rPr>
                <w:rFonts w:ascii="DejaVu Sans Mono" w:hAnsi="DejaVu Sans Mono" w:eastAsia="DejaVu Sans Mono"/>
                <w:color w:val="0F172A"/>
                <w:sz w:val="15"/>
              </w:rPr>
              <w:t xml:space="preserve">    UNION(</w:t>
              <w:br/>
            </w:r>
            <w:r>
              <w:rPr>
                <w:rFonts w:ascii="DejaVu Sans Mono" w:hAnsi="DejaVu Sans Mono" w:eastAsia="DejaVu Sans Mono"/>
                <w:color w:val="0F172A"/>
                <w:sz w:val="15"/>
              </w:rPr>
              <w:t xml:space="preserve">        SELECTCOLUMNS(</w:t>
              <w:br/>
            </w:r>
            <w:r>
              <w:rPr>
                <w:rFonts w:ascii="DejaVu Sans Mono" w:hAnsi="DejaVu Sans Mono" w:eastAsia="DejaVu Sans Mono"/>
                <w:color w:val="0F172A"/>
                <w:sz w:val="15"/>
              </w:rPr>
              <w:t xml:space="preserve">            Orders,</w:t>
              <w:br/>
            </w:r>
            <w:r>
              <w:rPr>
                <w:rFonts w:ascii="DejaVu Sans Mono" w:hAnsi="DejaVu Sans Mono" w:eastAsia="DejaVu Sans Mono"/>
                <w:color w:val="0F172A"/>
                <w:sz w:val="15"/>
              </w:rPr>
              <w:t xml:space="preserve">            "BusinessDate",</w:t>
              <w:br/>
            </w:r>
            <w:r>
              <w:rPr>
                <w:rFonts w:ascii="DejaVu Sans Mono" w:hAnsi="DejaVu Sans Mono" w:eastAsia="DejaVu Sans Mono"/>
                <w:color w:val="0F172A"/>
                <w:sz w:val="15"/>
              </w:rPr>
              <w:t xml:space="preserve">            Orders[OrderDate]</w:t>
              <w:br/>
            </w:r>
            <w:r>
              <w:rPr>
                <w:rFonts w:ascii="DejaVu Sans Mono" w:hAnsi="DejaVu Sans Mono" w:eastAsia="DejaVu Sans Mono"/>
                <w:color w:val="0F172A"/>
                <w:sz w:val="15"/>
              </w:rPr>
              <w:t xml:space="preserve">        ),</w:t>
              <w:br/>
            </w:r>
            <w:r>
              <w:rPr>
                <w:rFonts w:ascii="DejaVu Sans Mono" w:hAnsi="DejaVu Sans Mono" w:eastAsia="DejaVu Sans Mono"/>
                <w:color w:val="0F172A"/>
                <w:sz w:val="15"/>
              </w:rPr>
              <w:t xml:space="preserve">        SELECTCOLUMNS(</w:t>
              <w:br/>
            </w:r>
            <w:r>
              <w:rPr>
                <w:rFonts w:ascii="DejaVu Sans Mono" w:hAnsi="DejaVu Sans Mono" w:eastAsia="DejaVu Sans Mono"/>
                <w:color w:val="0F172A"/>
                <w:sz w:val="15"/>
              </w:rPr>
              <w:t xml:space="preserve">            MonthlyTargets,</w:t>
              <w:br/>
            </w:r>
            <w:r>
              <w:rPr>
                <w:rFonts w:ascii="DejaVu Sans Mono" w:hAnsi="DejaVu Sans Mono" w:eastAsia="DejaVu Sans Mono"/>
                <w:color w:val="0F172A"/>
                <w:sz w:val="15"/>
              </w:rPr>
              <w:t xml:space="preserve">            "BusinessDate",</w:t>
              <w:br/>
            </w:r>
            <w:r>
              <w:rPr>
                <w:rFonts w:ascii="DejaVu Sans Mono" w:hAnsi="DejaVu Sans Mono" w:eastAsia="DejaVu Sans Mono"/>
                <w:color w:val="0F172A"/>
                <w:sz w:val="15"/>
              </w:rPr>
              <w:t xml:space="preserve">            MonthlyTargets[MonthStartDate]</w:t>
              <w:br/>
            </w:r>
            <w:r>
              <w:rPr>
                <w:rFonts w:ascii="DejaVu Sans Mono" w:hAnsi="DejaVu Sans Mono" w:eastAsia="DejaVu Sans Mono"/>
                <w:color w:val="0F172A"/>
                <w:sz w:val="15"/>
              </w:rPr>
              <w:t xml:space="preserve">        )</w:t>
              <w:br/>
            </w:r>
            <w:r>
              <w:rPr>
                <w:rFonts w:ascii="DejaVu Sans Mono" w:hAnsi="DejaVu Sans Mono" w:eastAsia="DejaVu Sans Mono"/>
                <w:color w:val="0F172A"/>
                <w:sz w:val="15"/>
              </w:rPr>
              <w:t xml:space="preserve">    )</w:t>
              <w:br/>
            </w:r>
            <w:r>
              <w:rPr>
                <w:rFonts w:ascii="DejaVu Sans Mono" w:hAnsi="DejaVu Sans Mono" w:eastAsia="DejaVu Sans Mono"/>
                <w:color w:val="0F172A"/>
                <w:sz w:val="15"/>
              </w:rPr>
              <w:br/>
            </w:r>
            <w:r>
              <w:rPr>
                <w:rFonts w:ascii="DejaVu Sans Mono" w:hAnsi="DejaVu Sans Mono" w:eastAsia="DejaVu Sans Mono"/>
                <w:color w:val="0F172A"/>
                <w:sz w:val="15"/>
              </w:rPr>
              <w:t>VAR FirstYear =</w:t>
              <w:br/>
            </w:r>
            <w:r>
              <w:rPr>
                <w:rFonts w:ascii="DejaVu Sans Mono" w:hAnsi="DejaVu Sans Mono" w:eastAsia="DejaVu Sans Mono"/>
                <w:color w:val="0F172A"/>
                <w:sz w:val="15"/>
              </w:rPr>
              <w:t xml:space="preserve">    YEAR(</w:t>
              <w:br/>
            </w:r>
            <w:r>
              <w:rPr>
                <w:rFonts w:ascii="DejaVu Sans Mono" w:hAnsi="DejaVu Sans Mono" w:eastAsia="DejaVu Sans Mono"/>
                <w:color w:val="0F172A"/>
                <w:sz w:val="15"/>
              </w:rPr>
              <w:t xml:space="preserve">        MINX(</w:t>
              <w:br/>
            </w:r>
            <w:r>
              <w:rPr>
                <w:rFonts w:ascii="DejaVu Sans Mono" w:hAnsi="DejaVu Sans Mono" w:eastAsia="DejaVu Sans Mono"/>
                <w:color w:val="0F172A"/>
                <w:sz w:val="15"/>
              </w:rPr>
              <w:t xml:space="preserve">            AllBusinessDates,</w:t>
              <w:br/>
            </w:r>
            <w:r>
              <w:rPr>
                <w:rFonts w:ascii="DejaVu Sans Mono" w:hAnsi="DejaVu Sans Mono" w:eastAsia="DejaVu Sans Mono"/>
                <w:color w:val="0F172A"/>
                <w:sz w:val="15"/>
              </w:rPr>
              <w:t xml:space="preserve">            [BusinessDate]</w:t>
              <w:br/>
            </w:r>
            <w:r>
              <w:rPr>
                <w:rFonts w:ascii="DejaVu Sans Mono" w:hAnsi="DejaVu Sans Mono" w:eastAsia="DejaVu Sans Mono"/>
                <w:color w:val="0F172A"/>
                <w:sz w:val="15"/>
              </w:rPr>
              <w:t xml:space="preserve">        )</w:t>
              <w:br/>
            </w:r>
            <w:r>
              <w:rPr>
                <w:rFonts w:ascii="DejaVu Sans Mono" w:hAnsi="DejaVu Sans Mono" w:eastAsia="DejaVu Sans Mono"/>
                <w:color w:val="0F172A"/>
                <w:sz w:val="15"/>
              </w:rPr>
              <w:t xml:space="preserve">    )</w:t>
              <w:br/>
            </w:r>
            <w:r>
              <w:rPr>
                <w:rFonts w:ascii="DejaVu Sans Mono" w:hAnsi="DejaVu Sans Mono" w:eastAsia="DejaVu Sans Mono"/>
                <w:color w:val="0F172A"/>
                <w:sz w:val="15"/>
              </w:rPr>
              <w:br/>
            </w:r>
            <w:r>
              <w:rPr>
                <w:rFonts w:ascii="DejaVu Sans Mono" w:hAnsi="DejaVu Sans Mono" w:eastAsia="DejaVu Sans Mono"/>
                <w:color w:val="0F172A"/>
                <w:sz w:val="15"/>
              </w:rPr>
              <w:t>VAR LastYear =</w:t>
              <w:br/>
            </w:r>
            <w:r>
              <w:rPr>
                <w:rFonts w:ascii="DejaVu Sans Mono" w:hAnsi="DejaVu Sans Mono" w:eastAsia="DejaVu Sans Mono"/>
                <w:color w:val="0F172A"/>
                <w:sz w:val="15"/>
              </w:rPr>
              <w:t xml:space="preserve">    YEAR(</w:t>
              <w:br/>
            </w:r>
            <w:r>
              <w:rPr>
                <w:rFonts w:ascii="DejaVu Sans Mono" w:hAnsi="DejaVu Sans Mono" w:eastAsia="DejaVu Sans Mono"/>
                <w:color w:val="0F172A"/>
                <w:sz w:val="15"/>
              </w:rPr>
              <w:t xml:space="preserve">        MAXX(</w:t>
              <w:br/>
            </w:r>
            <w:r>
              <w:rPr>
                <w:rFonts w:ascii="DejaVu Sans Mono" w:hAnsi="DejaVu Sans Mono" w:eastAsia="DejaVu Sans Mono"/>
                <w:color w:val="0F172A"/>
                <w:sz w:val="15"/>
              </w:rPr>
              <w:t xml:space="preserve">            AllBusinessDates,</w:t>
              <w:br/>
            </w:r>
            <w:r>
              <w:rPr>
                <w:rFonts w:ascii="DejaVu Sans Mono" w:hAnsi="DejaVu Sans Mono" w:eastAsia="DejaVu Sans Mono"/>
                <w:color w:val="0F172A"/>
                <w:sz w:val="15"/>
              </w:rPr>
              <w:t xml:space="preserve">            [BusinessDate]</w:t>
              <w:br/>
            </w:r>
            <w:r>
              <w:rPr>
                <w:rFonts w:ascii="DejaVu Sans Mono" w:hAnsi="DejaVu Sans Mono" w:eastAsia="DejaVu Sans Mono"/>
                <w:color w:val="0F172A"/>
                <w:sz w:val="15"/>
              </w:rPr>
              <w:t xml:space="preserve">        )</w:t>
              <w:br/>
            </w:r>
            <w:r>
              <w:rPr>
                <w:rFonts w:ascii="DejaVu Sans Mono" w:hAnsi="DejaVu Sans Mono" w:eastAsia="DejaVu Sans Mono"/>
                <w:color w:val="0F172A"/>
                <w:sz w:val="15"/>
              </w:rPr>
              <w:t xml:space="preserve">    )</w:t>
              <w:br/>
            </w:r>
            <w:r>
              <w:rPr>
                <w:rFonts w:ascii="DejaVu Sans Mono" w:hAnsi="DejaVu Sans Mono" w:eastAsia="DejaVu Sans Mono"/>
                <w:color w:val="0F172A"/>
                <w:sz w:val="15"/>
              </w:rPr>
              <w:br/>
            </w:r>
            <w:r>
              <w:rPr>
                <w:rFonts w:ascii="DejaVu Sans Mono" w:hAnsi="DejaVu Sans Mono" w:eastAsia="DejaVu Sans Mono"/>
                <w:color w:val="0F172A"/>
                <w:sz w:val="15"/>
              </w:rPr>
              <w:t>RETURN</w:t>
              <w:br/>
            </w:r>
            <w:r>
              <w:rPr>
                <w:rFonts w:ascii="DejaVu Sans Mono" w:hAnsi="DejaVu Sans Mono" w:eastAsia="DejaVu Sans Mono"/>
                <w:color w:val="0F172A"/>
                <w:sz w:val="15"/>
              </w:rPr>
              <w:t xml:space="preserve">    ADDCOLUMNS(</w:t>
              <w:br/>
            </w:r>
            <w:r>
              <w:rPr>
                <w:rFonts w:ascii="DejaVu Sans Mono" w:hAnsi="DejaVu Sans Mono" w:eastAsia="DejaVu Sans Mono"/>
                <w:color w:val="0F172A"/>
                <w:sz w:val="15"/>
              </w:rPr>
              <w:t xml:space="preserve">        CALENDAR(</w:t>
              <w:br/>
            </w:r>
            <w:r>
              <w:rPr>
                <w:rFonts w:ascii="DejaVu Sans Mono" w:hAnsi="DejaVu Sans Mono" w:eastAsia="DejaVu Sans Mono"/>
                <w:color w:val="0F172A"/>
                <w:sz w:val="15"/>
              </w:rPr>
              <w:t xml:space="preserve">            DATE(FirstYear, 1, 1),</w:t>
              <w:br/>
            </w:r>
            <w:r>
              <w:rPr>
                <w:rFonts w:ascii="DejaVu Sans Mono" w:hAnsi="DejaVu Sans Mono" w:eastAsia="DejaVu Sans Mono"/>
                <w:color w:val="0F172A"/>
                <w:sz w:val="15"/>
              </w:rPr>
              <w:t xml:space="preserve">            DATE(LastYear, 12, 31)</w:t>
              <w:br/>
            </w:r>
            <w:r>
              <w:rPr>
                <w:rFonts w:ascii="DejaVu Sans Mono" w:hAnsi="DejaVu Sans Mono" w:eastAsia="DejaVu Sans Mono"/>
                <w:color w:val="0F172A"/>
                <w:sz w:val="15"/>
              </w:rPr>
              <w:t xml:space="preserve">        ),</w:t>
              <w:br/>
            </w:r>
            <w:r>
              <w:rPr>
                <w:rFonts w:ascii="DejaVu Sans Mono" w:hAnsi="DejaVu Sans Mono" w:eastAsia="DejaVu Sans Mono"/>
                <w:color w:val="0F172A"/>
                <w:sz w:val="15"/>
              </w:rPr>
              <w:t xml:space="preserve">        "Year", YEAR([Date]),</w:t>
              <w:br/>
            </w:r>
            <w:r>
              <w:rPr>
                <w:rFonts w:ascii="DejaVu Sans Mono" w:hAnsi="DejaVu Sans Mono" w:eastAsia="DejaVu Sans Mono"/>
                <w:color w:val="0F172A"/>
                <w:sz w:val="15"/>
              </w:rPr>
              <w:t xml:space="preserve">        "MonthNumber", MONTH([Date]),</w:t>
              <w:br/>
            </w:r>
            <w:r>
              <w:rPr>
                <w:rFonts w:ascii="DejaVu Sans Mono" w:hAnsi="DejaVu Sans Mono" w:eastAsia="DejaVu Sans Mono"/>
                <w:color w:val="0F172A"/>
                <w:sz w:val="15"/>
              </w:rPr>
              <w:t xml:space="preserve">        "MonthName", FORMAT([Date], "MMM"),</w:t>
              <w:br/>
            </w:r>
            <w:r>
              <w:rPr>
                <w:rFonts w:ascii="DejaVu Sans Mono" w:hAnsi="DejaVu Sans Mono" w:eastAsia="DejaVu Sans Mono"/>
                <w:color w:val="0F172A"/>
                <w:sz w:val="15"/>
              </w:rPr>
              <w:t xml:space="preserve">        "YearMonth", FORMAT([Date], "yyyy-MM"),</w:t>
              <w:br/>
            </w:r>
            <w:r>
              <w:rPr>
                <w:rFonts w:ascii="DejaVu Sans Mono" w:hAnsi="DejaVu Sans Mono" w:eastAsia="DejaVu Sans Mono"/>
                <w:color w:val="0F172A"/>
                <w:sz w:val="15"/>
              </w:rPr>
              <w:t xml:space="preserve">        "Quarter", "Q" &amp; FORMAT([Date], "Q")</w:t>
              <w:br/>
            </w:r>
            <w:r>
              <w:rPr>
                <w:rFonts w:ascii="DejaVu Sans Mono" w:hAnsi="DejaVu Sans Mono" w:eastAsia="DejaVu Sans Mono"/>
                <w:color w:val="0F172A"/>
                <w:sz w:val="15"/>
              </w:rPr>
              <w:t xml:space="preserve">    )</w:t>
            </w:r>
          </w:p>
        </w:tc>
      </w:tr>
    </w:tbl>
    <w:p>
      <w:pPr>
        <w:spacing w:after="0"/>
      </w:pPr>
    </w:p>
    <w:p>
      <w:pPr>
        <w:pStyle w:val="Heading2"/>
      </w:pPr>
      <w:r>
        <w:t>6.2 DimRegion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80" w:after="80" w:line="240" w:lineRule="auto"/>
            </w:pPr>
            <w:r>
              <w:rPr>
                <w:rFonts w:ascii="DejaVu Sans Mono" w:hAnsi="DejaVu Sans Mono" w:eastAsia="DejaVu Sans Mono"/>
                <w:color w:val="0F172A"/>
                <w:sz w:val="16"/>
              </w:rPr>
              <w:t>DimRegion =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>DISTINCT(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 xml:space="preserve">    UNION(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 xml:space="preserve">        SELECTCOLUMNS(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 xml:space="preserve">            Orders,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 xml:space="preserve">            "Region",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 xml:space="preserve">            Orders[Region]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 xml:space="preserve">        ),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 xml:space="preserve">        SELECTCOLUMNS(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 xml:space="preserve">            MonthlyTargets,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 xml:space="preserve">            "Region",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 xml:space="preserve">            MonthlyTargets[Region]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 xml:space="preserve">        )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 xml:space="preserve">    )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>)</w:t>
            </w:r>
          </w:p>
        </w:tc>
      </w:tr>
    </w:tbl>
    <w:p>
      <w:pPr>
        <w:spacing w:after="0"/>
      </w:pPr>
    </w:p>
    <w:p>
      <w:pPr>
        <w:pStyle w:val="Heading2"/>
      </w:pPr>
      <w:r>
        <w:t>6.3 Measures Container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80" w:after="80" w:line="240" w:lineRule="auto"/>
            </w:pPr>
            <w:r>
              <w:rPr>
                <w:rFonts w:ascii="DejaVu Sans Mono" w:hAnsi="DejaVu Sans Mono" w:eastAsia="DejaVu Sans Mono"/>
                <w:color w:val="0F172A"/>
                <w:sz w:val="17"/>
              </w:rPr>
              <w:t>_Measures =</w:t>
              <w:br/>
            </w:r>
            <w:r>
              <w:rPr>
                <w:rFonts w:ascii="DejaVu Sans Mono" w:hAnsi="DejaVu Sans Mono" w:eastAsia="DejaVu Sans Mono"/>
                <w:color w:val="0F172A"/>
                <w:sz w:val="17"/>
              </w:rPr>
              <w:t>{ BLANK() }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Noto Sans CJK TC" w:hAnsi="Noto Sans CJK TC" w:eastAsia="Noto Sans CJK TC"/>
          <w:b w:val="0"/>
          <w:i w:val="0"/>
          <w:color w:val="1F2937"/>
          <w:sz w:val="20"/>
        </w:rPr>
        <w:t>_Measures 是純整理用途的 calculated table。Value 欄位被隱藏，所有 Measures 集中放在此表，讓 Fields pane 更乾淨。</w:t>
      </w:r>
    </w:p>
    <w:p>
      <w:pPr>
        <w:pStyle w:val="Heading2"/>
      </w:pPr>
      <w:r>
        <w:t>6.4 DAX 設計原則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2381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概念</w:t>
            </w:r>
          </w:p>
        </w:tc>
        <w:tc>
          <w:tcPr>
            <w:tcW w:type="dxa" w:w="7257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本專案用法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Filter context</w:t>
            </w:r>
          </w:p>
        </w:tc>
        <w:tc>
          <w:tcPr>
            <w:tcW w:type="dxa" w:w="7257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Year、Region、Product、Customer 與頁面互動會改變 Measure 結果</w:t>
            </w:r>
          </w:p>
        </w:tc>
      </w:tr>
      <w:tr>
        <w:trPr>
          <w:cantSplit/>
        </w:trPr>
        <w:tc>
          <w:tcPr>
            <w:tcW w:type="dxa" w:w="2381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CALCULATE</w:t>
            </w:r>
          </w:p>
        </w:tc>
        <w:tc>
          <w:tcPr>
            <w:tcW w:type="dxa" w:w="7257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加入 Completed order 與 DeliveryDays 等 business filters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SUMX</w:t>
            </w:r>
          </w:p>
        </w:tc>
        <w:tc>
          <w:tcPr>
            <w:tcW w:type="dxa" w:w="7257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逐筆計算 Quantity × UnitPrice × Discount 或 Quantity × StandardCost</w:t>
            </w:r>
          </w:p>
        </w:tc>
      </w:tr>
      <w:tr>
        <w:trPr>
          <w:cantSplit/>
        </w:trPr>
        <w:tc>
          <w:tcPr>
            <w:tcW w:type="dxa" w:w="2381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RELATED</w:t>
            </w:r>
          </w:p>
        </w:tc>
        <w:tc>
          <w:tcPr>
            <w:tcW w:type="dxa" w:w="7257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從 Products 將 StandardCost 帶入 Orders 的逐列運算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DIVIDE</w:t>
            </w:r>
          </w:p>
        </w:tc>
        <w:tc>
          <w:tcPr>
            <w:tcW w:type="dxa" w:w="7257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安全處理 Target 或 order count 為 0 的情況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FF6FF"/>
            <w:tcBorders>
              <w:top w:val="single" w:sz="4" w:color="CBD5E1"/>
              <w:left w:val="single" w:sz="18" w:color="2563EB"/>
              <w:bottom w:val="single" w:sz="4" w:color="CBD5E1"/>
              <w:right w:val="single" w:sz="4" w:color="CBD5E1"/>
            </w:tcBorders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E3A8A"/>
                <w:sz w:val="21"/>
              </w:rPr>
              <w:t>Calculated Table、Column、Measure 的分工</w:t>
              <w:br/>
            </w:r>
            <w:r>
              <w:rPr>
                <w:rFonts w:ascii="Noto Sans CJK TC" w:hAnsi="Noto Sans CJK TC" w:eastAsia="Noto Sans CJK TC"/>
                <w:color w:val="1F2937"/>
                <w:sz w:val="19"/>
              </w:rPr>
              <w:t>DateTable / DimRegion 屬於模型結構；MonthStartDate 屬於資料轉換；Revenue、Margin、Delivery Rate 等需要隨篩選變動，因此必須建立為 Measures。</w:t>
            </w:r>
          </w:p>
        </w:tc>
      </w:tr>
    </w:tbl>
    <w:p>
      <w:pPr>
        <w:spacing w:after="0"/>
      </w:pPr>
    </w:p>
    <w:p>
      <w:pPr>
        <w:pStyle w:val="Heading2"/>
      </w:pPr>
      <w:r>
        <w:t>6.5 重要假設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color w:val="1F2937"/>
          <w:sz w:val="20"/>
        </w:rPr>
        <w:t>Completed 是已實現交易；Pending 與 Cancelled 不計入 Actual Revenue。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color w:val="1F2937"/>
          <w:sz w:val="20"/>
        </w:rPr>
        <w:t>DeliveryDays ≤ 4 定義為 On-Time。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color w:val="1F2937"/>
          <w:sz w:val="20"/>
        </w:rPr>
        <w:t>StandardCost 來自 Products，並作為 Estimated Cost 的基礎。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color w:val="1F2937"/>
          <w:sz w:val="20"/>
        </w:rPr>
        <w:t>MonthlyTargets 的粒度為 Month × Region。</w:t>
      </w:r>
    </w:p>
    <w:p>
      <w:r>
        <w:br w:type="page"/>
      </w:r>
    </w:p>
    <w:p>
      <w:pPr>
        <w:pStyle w:val="Heading1"/>
      </w:pPr>
      <w:r>
        <w:t>7. DAX Measures</w:t>
      </w:r>
    </w:p>
    <w:p>
      <w:pPr>
        <w:spacing w:after="100" w:line="276" w:lineRule="auto"/>
      </w:pPr>
      <w:r>
        <w:rPr>
          <w:rFonts w:ascii="Noto Sans CJK TC" w:hAnsi="Noto Sans CJK TC" w:eastAsia="Noto Sans CJK TC"/>
          <w:b w:val="0"/>
          <w:i w:val="0"/>
          <w:color w:val="1F2937"/>
          <w:sz w:val="20"/>
        </w:rPr>
        <w:t>所有 Measures 都建立在 _Measures table。此專案的核心原則是：只有 Completed orders 才納入 Revenue、Cost、Profit 與 delivery performance，避免 Cancelled 或 Pending orders 污染實際營運 KPI。</w:t>
      </w:r>
    </w:p>
    <w:p>
      <w:pPr>
        <w:pStyle w:val="Heading2"/>
      </w:pPr>
      <w:r>
        <w:t>7.1 Revenue &amp; Target</w:t>
      </w:r>
    </w:p>
    <w:p>
      <w:pPr>
        <w:pStyle w:val="Heading3"/>
      </w:pPr>
      <w:r>
        <w:t>Total Revenue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80" w:after="80" w:line="240" w:lineRule="auto"/>
            </w:pPr>
            <w:r>
              <w:rPr>
                <w:rFonts w:ascii="DejaVu Sans Mono" w:hAnsi="DejaVu Sans Mono" w:eastAsia="DejaVu Sans Mono"/>
                <w:color w:val="0F172A"/>
                <w:sz w:val="16"/>
              </w:rPr>
              <w:t>Total Revenue =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>CALCULATE(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 xml:space="preserve">    SUMX(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 xml:space="preserve">        Orders,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 xml:space="preserve">        Orders[Quantity]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 xml:space="preserve">            * Orders[UnitPrice]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 xml:space="preserve">            * (1 - Orders[DiscountPct])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 xml:space="preserve">    ),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 xml:space="preserve">    Orders[OrderStatus] = "Completed"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>)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Noto Sans CJK TC" w:hAnsi="Noto Sans CJK TC" w:eastAsia="Noto Sans CJK TC"/>
          <w:b w:val="0"/>
          <w:i w:val="0"/>
          <w:color w:val="475569"/>
          <w:sz w:val="18"/>
        </w:rPr>
        <w:t>以逐筆 SUMX 計算 Quantity × UnitPrice × (1 − DiscountPct)，並以 CALCULATE 只保留 Completed orders。</w:t>
      </w:r>
    </w:p>
    <w:p>
      <w:pPr>
        <w:pStyle w:val="Heading3"/>
      </w:pPr>
      <w:r>
        <w:t>Revenue Target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80" w:after="80" w:line="240" w:lineRule="auto"/>
            </w:pPr>
            <w:r>
              <w:rPr>
                <w:rFonts w:ascii="DejaVu Sans Mono" w:hAnsi="DejaVu Sans Mono" w:eastAsia="DejaVu Sans Mono"/>
                <w:color w:val="0F172A"/>
                <w:sz w:val="16"/>
              </w:rPr>
              <w:t>Revenue Target =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>SUM(MonthlyTargets[RevenueTarget])</w:t>
            </w:r>
          </w:p>
        </w:tc>
      </w:tr>
    </w:tbl>
    <w:p>
      <w:pPr>
        <w:spacing w:after="0"/>
      </w:pPr>
    </w:p>
    <w:p>
      <w:pPr>
        <w:pStyle w:val="Heading3"/>
      </w:pPr>
      <w:r>
        <w:t>Achievement %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80" w:after="80" w:line="240" w:lineRule="auto"/>
            </w:pPr>
            <w:r>
              <w:rPr>
                <w:rFonts w:ascii="DejaVu Sans Mono" w:hAnsi="DejaVu Sans Mono" w:eastAsia="DejaVu Sans Mono"/>
                <w:color w:val="0F172A"/>
                <w:sz w:val="16"/>
              </w:rPr>
              <w:t>Achievement % =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>DIVIDE(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 xml:space="preserve">    [Total Revenue],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 xml:space="preserve">    [Revenue Target],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 xml:space="preserve">    0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>)</w:t>
            </w:r>
          </w:p>
        </w:tc>
      </w:tr>
    </w:tbl>
    <w:p>
      <w:pPr>
        <w:spacing w:after="0"/>
      </w:pPr>
    </w:p>
    <w:p>
      <w:pPr>
        <w:pStyle w:val="Heading3"/>
      </w:pPr>
      <w:r>
        <w:t>Revenue Variance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80" w:after="80" w:line="240" w:lineRule="auto"/>
            </w:pPr>
            <w:r>
              <w:rPr>
                <w:rFonts w:ascii="DejaVu Sans Mono" w:hAnsi="DejaVu Sans Mono" w:eastAsia="DejaVu Sans Mono"/>
                <w:color w:val="0F172A"/>
                <w:sz w:val="16"/>
              </w:rPr>
              <w:t>Revenue Variance =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>[Total Revenue] - [Revenue Target]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FF6FF"/>
            <w:tcBorders>
              <w:top w:val="single" w:sz="4" w:color="CBD5E1"/>
              <w:left w:val="single" w:sz="18" w:color="2563EB"/>
              <w:bottom w:val="single" w:sz="4" w:color="CBD5E1"/>
              <w:right w:val="single" w:sz="4" w:color="CBD5E1"/>
            </w:tcBorders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E3A8A"/>
                <w:sz w:val="21"/>
              </w:rPr>
              <w:t>DIVIDE 而非直接使用 /</w:t>
              <w:br/>
            </w:r>
            <w:r>
              <w:rPr>
                <w:rFonts w:ascii="Noto Sans CJK TC" w:hAnsi="Noto Sans CJK TC" w:eastAsia="Noto Sans CJK TC"/>
                <w:color w:val="1F2937"/>
                <w:sz w:val="19"/>
              </w:rPr>
              <w:t>DIVIDE 可以在 Revenue Target 為 0 或空值時回傳指定替代值，避免報表出現除以零錯誤。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7.2 Profitability</w:t>
      </w:r>
    </w:p>
    <w:p>
      <w:pPr>
        <w:pStyle w:val="Heading3"/>
      </w:pPr>
      <w:r>
        <w:t>Total Estimated Cost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80" w:after="80" w:line="240" w:lineRule="auto"/>
            </w:pPr>
            <w:r>
              <w:rPr>
                <w:rFonts w:ascii="DejaVu Sans Mono" w:hAnsi="DejaVu Sans Mono" w:eastAsia="DejaVu Sans Mono"/>
                <w:color w:val="0F172A"/>
                <w:sz w:val="16"/>
              </w:rPr>
              <w:t>Total Estimated Cost =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>CALCULATE(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 xml:space="preserve">    SUMX(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 xml:space="preserve">        Orders,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 xml:space="preserve">        Orders[Quantity]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 xml:space="preserve">            * RELATED(Products[StandardCost])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 xml:space="preserve">    ),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 xml:space="preserve">    Orders[OrderStatus] = "Completed"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>)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Noto Sans CJK TC" w:hAnsi="Noto Sans CJK TC" w:eastAsia="Noto Sans CJK TC"/>
          <w:b w:val="0"/>
          <w:i w:val="0"/>
          <w:color w:val="475569"/>
          <w:sz w:val="18"/>
        </w:rPr>
        <w:t>RELATED 透過 Products 1 → * Orders relationship，將每個訂單列對應到產品 StandardCost。</w:t>
      </w:r>
    </w:p>
    <w:p>
      <w:pPr>
        <w:pStyle w:val="Heading3"/>
      </w:pPr>
      <w:r>
        <w:t>Gross Profit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80" w:after="80" w:line="240" w:lineRule="auto"/>
            </w:pPr>
            <w:r>
              <w:rPr>
                <w:rFonts w:ascii="DejaVu Sans Mono" w:hAnsi="DejaVu Sans Mono" w:eastAsia="DejaVu Sans Mono"/>
                <w:color w:val="0F172A"/>
                <w:sz w:val="16"/>
              </w:rPr>
              <w:t>Gross Profit =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>[Total Revenue] - [Total Estimated Cost]</w:t>
            </w:r>
          </w:p>
        </w:tc>
      </w:tr>
    </w:tbl>
    <w:p>
      <w:pPr>
        <w:spacing w:after="0"/>
      </w:pPr>
    </w:p>
    <w:p>
      <w:pPr>
        <w:pStyle w:val="Heading3"/>
      </w:pPr>
      <w:r>
        <w:t>Gross Margin %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80" w:after="80" w:line="240" w:lineRule="auto"/>
            </w:pPr>
            <w:r>
              <w:rPr>
                <w:rFonts w:ascii="DejaVu Sans Mono" w:hAnsi="DejaVu Sans Mono" w:eastAsia="DejaVu Sans Mono"/>
                <w:color w:val="0F172A"/>
                <w:sz w:val="16"/>
              </w:rPr>
              <w:t>Gross Margin % =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>DIVIDE(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 xml:space="preserve">    [Gross Profit],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 xml:space="preserve">    [Total Revenue],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 xml:space="preserve">    0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>)</w:t>
            </w:r>
          </w:p>
        </w:tc>
      </w:tr>
    </w:tbl>
    <w:p>
      <w:pPr>
        <w:spacing w:after="0"/>
      </w:pPr>
    </w:p>
    <w:p>
      <w:pPr>
        <w:pStyle w:val="Heading2"/>
      </w:pPr>
      <w:r>
        <w:t>7.3 Orders &amp; Average Order Value</w:t>
      </w:r>
    </w:p>
    <w:p>
      <w:pPr>
        <w:pStyle w:val="Heading3"/>
      </w:pPr>
      <w:r>
        <w:t>Completed Orders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80" w:after="80" w:line="240" w:lineRule="auto"/>
            </w:pPr>
            <w:r>
              <w:rPr>
                <w:rFonts w:ascii="DejaVu Sans Mono" w:hAnsi="DejaVu Sans Mono" w:eastAsia="DejaVu Sans Mono"/>
                <w:color w:val="0F172A"/>
                <w:sz w:val="16"/>
              </w:rPr>
              <w:t>Completed Orders =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>CALCULATE(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 xml:space="preserve">    DISTINCTCOUNT(Orders[OrderID]),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 xml:space="preserve">    Orders[OrderStatus] = "Completed"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>)</w:t>
            </w:r>
          </w:p>
        </w:tc>
      </w:tr>
    </w:tbl>
    <w:p>
      <w:pPr>
        <w:spacing w:after="0"/>
      </w:pPr>
    </w:p>
    <w:p>
      <w:pPr>
        <w:pStyle w:val="Heading3"/>
      </w:pPr>
      <w:r>
        <w:t>Average Order Value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80" w:after="80" w:line="240" w:lineRule="auto"/>
            </w:pPr>
            <w:r>
              <w:rPr>
                <w:rFonts w:ascii="DejaVu Sans Mono" w:hAnsi="DejaVu Sans Mono" w:eastAsia="DejaVu Sans Mono"/>
                <w:color w:val="0F172A"/>
                <w:sz w:val="16"/>
              </w:rPr>
              <w:t>Average Order Value =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>DIVIDE(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 xml:space="preserve">    [Total Revenue],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 xml:space="preserve">    [Completed Orders],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 xml:space="preserve">    0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>)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FF7ED"/>
            <w:tcBorders>
              <w:top w:val="single" w:sz="4" w:color="CBD5E1"/>
              <w:left w:val="single" w:sz="18" w:color="F59E0B"/>
              <w:bottom w:val="single" w:sz="4" w:color="CBD5E1"/>
              <w:right w:val="single" w:sz="4" w:color="CBD5E1"/>
            </w:tcBorders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E3A8A"/>
                <w:sz w:val="21"/>
              </w:rPr>
              <w:t>為什麼使用 DISTINCTCOUNT？</w:t>
              <w:br/>
            </w:r>
            <w:r>
              <w:rPr>
                <w:rFonts w:ascii="Noto Sans CJK TC" w:hAnsi="Noto Sans CJK TC" w:eastAsia="Noto Sans CJK TC"/>
                <w:color w:val="1F2937"/>
                <w:sz w:val="19"/>
              </w:rPr>
              <w:t>即使目前每個 OrderID 只有一列，DISTINCTCOUNT 仍清楚表達「訂單數」的 business meaning，也能降低未來資料粒度變更時的風險。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7.4 Delivery Performance</w:t>
      </w:r>
    </w:p>
    <w:p>
      <w:pPr>
        <w:pStyle w:val="Heading3"/>
      </w:pPr>
      <w:r>
        <w:t>On-Time Deliveries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80" w:after="80" w:line="240" w:lineRule="auto"/>
            </w:pPr>
            <w:r>
              <w:rPr>
                <w:rFonts w:ascii="DejaVu Sans Mono" w:hAnsi="DejaVu Sans Mono" w:eastAsia="DejaVu Sans Mono"/>
                <w:color w:val="0F172A"/>
                <w:sz w:val="16"/>
              </w:rPr>
              <w:t>On-Time Deliveries =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>CALCULATE(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 xml:space="preserve">    DISTINCTCOUNT(Orders[OrderID]),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 xml:space="preserve">    Orders[OrderStatus] = "Completed",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 xml:space="preserve">    Orders[DeliveryDays] &lt;= 4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>)</w:t>
            </w:r>
          </w:p>
        </w:tc>
      </w:tr>
    </w:tbl>
    <w:p>
      <w:pPr>
        <w:spacing w:after="0"/>
      </w:pPr>
    </w:p>
    <w:p>
      <w:pPr>
        <w:pStyle w:val="Heading3"/>
      </w:pPr>
      <w:r>
        <w:t>On-Time Delivery Rate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80" w:after="80" w:line="240" w:lineRule="auto"/>
            </w:pPr>
            <w:r>
              <w:rPr>
                <w:rFonts w:ascii="DejaVu Sans Mono" w:hAnsi="DejaVu Sans Mono" w:eastAsia="DejaVu Sans Mono"/>
                <w:color w:val="0F172A"/>
                <w:sz w:val="16"/>
              </w:rPr>
              <w:t>On-Time Delivery Rate =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>DIVIDE(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 xml:space="preserve">    [On-Time Deliveries],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 xml:space="preserve">    [Completed Orders],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 xml:space="preserve">    0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>)</w:t>
            </w:r>
          </w:p>
        </w:tc>
      </w:tr>
    </w:tbl>
    <w:p>
      <w:pPr>
        <w:spacing w:after="0"/>
      </w:pPr>
    </w:p>
    <w:p>
      <w:pPr>
        <w:pStyle w:val="Heading3"/>
      </w:pPr>
      <w:r>
        <w:t>Average Delivery Days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80" w:after="80" w:line="240" w:lineRule="auto"/>
            </w:pPr>
            <w:r>
              <w:rPr>
                <w:rFonts w:ascii="DejaVu Sans Mono" w:hAnsi="DejaVu Sans Mono" w:eastAsia="DejaVu Sans Mono"/>
                <w:color w:val="0F172A"/>
                <w:sz w:val="16"/>
              </w:rPr>
              <w:t>Average Delivery Days =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>CALCULATE(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 xml:space="preserve">    AVERAGE(Orders[DeliveryDays]),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 xml:space="preserve">    Orders[OrderStatus] = "Completed"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>)</w:t>
            </w:r>
          </w:p>
        </w:tc>
      </w:tr>
    </w:tbl>
    <w:p>
      <w:pPr>
        <w:spacing w:after="0"/>
      </w:pPr>
    </w:p>
    <w:p>
      <w:pPr>
        <w:pStyle w:val="Heading3"/>
      </w:pPr>
      <w:r>
        <w:t>Late Deliveries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80" w:after="80" w:line="240" w:lineRule="auto"/>
            </w:pPr>
            <w:r>
              <w:rPr>
                <w:rFonts w:ascii="DejaVu Sans Mono" w:hAnsi="DejaVu Sans Mono" w:eastAsia="DejaVu Sans Mono"/>
                <w:color w:val="0F172A"/>
                <w:sz w:val="16"/>
              </w:rPr>
              <w:t>Late Deliveries =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>[Completed Orders] - [On-Time Deliveries]</w:t>
            </w:r>
          </w:p>
        </w:tc>
      </w:tr>
    </w:tbl>
    <w:p>
      <w:pPr>
        <w:spacing w:after="0"/>
      </w:pPr>
    </w:p>
    <w:p>
      <w:pPr>
        <w:pStyle w:val="Heading3"/>
      </w:pPr>
      <w:r>
        <w:t>Late Delivery Rate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80" w:after="80" w:line="240" w:lineRule="auto"/>
            </w:pPr>
            <w:r>
              <w:rPr>
                <w:rFonts w:ascii="DejaVu Sans Mono" w:hAnsi="DejaVu Sans Mono" w:eastAsia="DejaVu Sans Mono"/>
                <w:color w:val="0F172A"/>
                <w:sz w:val="16"/>
              </w:rPr>
              <w:t>Late Delivery Rate =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>DIVIDE(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 xml:space="preserve">    [Late Deliveries],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 xml:space="preserve">    [Completed Orders],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 xml:space="preserve">    0</w:t>
              <w:br/>
            </w:r>
            <w:r>
              <w:rPr>
                <w:rFonts w:ascii="DejaVu Sans Mono" w:hAnsi="DejaVu Sans Mono" w:eastAsia="DejaVu Sans Mono"/>
                <w:color w:val="0F172A"/>
                <w:sz w:val="16"/>
              </w:rPr>
              <w:t>)</w:t>
            </w:r>
          </w:p>
        </w:tc>
      </w:tr>
    </w:tbl>
    <w:p>
      <w:pPr>
        <w:spacing w:after="0"/>
      </w:pPr>
    </w:p>
    <w:p>
      <w:pPr>
        <w:pStyle w:val="Heading2"/>
      </w:pPr>
      <w:r>
        <w:t>7.5 Measure Formatting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4535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Measure type</w:t>
            </w:r>
          </w:p>
        </w:tc>
        <w:tc>
          <w:tcPr>
            <w:tcW w:type="dxa" w:w="5102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格式</w:t>
            </w:r>
          </w:p>
        </w:tc>
      </w:tr>
      <w:tr>
        <w:trPr>
          <w:cantSplit/>
        </w:trPr>
        <w:tc>
          <w:tcPr>
            <w:tcW w:type="dxa" w:w="4535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Achievement %, Gross Margin %, On-Time Delivery Rate, Late Delivery Rate</w:t>
            </w:r>
          </w:p>
        </w:tc>
        <w:tc>
          <w:tcPr>
            <w:tcW w:type="dxa" w:w="5102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Percentage，1 decimal</w:t>
            </w:r>
          </w:p>
        </w:tc>
      </w:tr>
      <w:tr>
        <w:trPr>
          <w:cantSplit/>
        </w:trPr>
        <w:tc>
          <w:tcPr>
            <w:tcW w:type="dxa" w:w="4535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Average Order Value</w:t>
            </w:r>
          </w:p>
        </w:tc>
        <w:tc>
          <w:tcPr>
            <w:tcW w:type="dxa" w:w="5102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Decimal，2 decimals</w:t>
            </w:r>
          </w:p>
        </w:tc>
      </w:tr>
      <w:tr>
        <w:trPr>
          <w:cantSplit/>
        </w:trPr>
        <w:tc>
          <w:tcPr>
            <w:tcW w:type="dxa" w:w="4535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Average Delivery Days</w:t>
            </w:r>
          </w:p>
        </w:tc>
        <w:tc>
          <w:tcPr>
            <w:tcW w:type="dxa" w:w="5102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Decimal，1 decimal</w:t>
            </w:r>
          </w:p>
        </w:tc>
      </w:tr>
      <w:tr>
        <w:trPr>
          <w:cantSplit/>
        </w:trPr>
        <w:tc>
          <w:tcPr>
            <w:tcW w:type="dxa" w:w="4535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Completed Orders / Delivery counts</w:t>
            </w:r>
          </w:p>
        </w:tc>
        <w:tc>
          <w:tcPr>
            <w:tcW w:type="dxa" w:w="5102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Whole number，thousands separator</w:t>
            </w:r>
          </w:p>
        </w:tc>
      </w:tr>
      <w:tr>
        <w:trPr>
          <w:cantSplit/>
        </w:trPr>
        <w:tc>
          <w:tcPr>
            <w:tcW w:type="dxa" w:w="4535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Revenue / Target / Cost / Profit / Variance</w:t>
            </w:r>
          </w:p>
        </w:tc>
        <w:tc>
          <w:tcPr>
            <w:tcW w:type="dxa" w:w="5102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Display units: Millions，2 decimals（Dashboard cards）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Four-Page Dashboard Design</w:t>
      </w:r>
    </w:p>
    <w:p>
      <w:pPr>
        <w:spacing w:after="100" w:line="276" w:lineRule="auto"/>
      </w:pPr>
      <w:r>
        <w:rPr>
          <w:rFonts w:ascii="Noto Sans CJK TC" w:hAnsi="Noto Sans CJK TC" w:eastAsia="Noto Sans CJK TC"/>
          <w:b w:val="0"/>
          <w:i w:val="0"/>
          <w:color w:val="1F2937"/>
          <w:sz w:val="20"/>
        </w:rPr>
        <w:t>四個頁面並不是重複圖表，而是依決策層級分工：Executive page 給管理層快速掃描；Product 與 Customer pages 支援商業拆解；Operations page 專注履約與配送穩定性。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28000" cy="38467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846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8.1 共通互動設計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color w:val="1F2937"/>
          <w:sz w:val="20"/>
        </w:rPr>
        <w:t>Page Navigator：Executive Overview、Product Analytics、Customer Analytics、Operations Analytics。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color w:val="1F2937"/>
          <w:sz w:val="20"/>
        </w:rPr>
        <w:t>目前所在頁以深藍色標示，其餘頁面使用白底。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color w:val="1F2937"/>
          <w:sz w:val="20"/>
        </w:rPr>
        <w:t>Year / Region slicers 讓使用者以相同維度切換 Actual 與 Target。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color w:val="1F2937"/>
          <w:sz w:val="20"/>
        </w:rPr>
        <w:t>所有 visuals 由同一 semantic model 與 measures 驅動，避免在每張圖重複計算邏輯。</w:t>
      </w:r>
    </w:p>
    <w:p>
      <w:r>
        <w:br w:type="page"/>
      </w:r>
    </w:p>
    <w:p>
      <w:pPr>
        <w:pStyle w:val="Heading2"/>
      </w:pPr>
      <w:r>
        <w:t>8.2 Executive Overview</w:t>
      </w:r>
    </w:p>
    <w:p>
      <w:pPr>
        <w:spacing w:after="100" w:line="276" w:lineRule="auto"/>
      </w:pPr>
      <w:r>
        <w:rPr>
          <w:rFonts w:ascii="Noto Sans CJK TC" w:hAnsi="Noto Sans CJK TC" w:eastAsia="Noto Sans CJK TC"/>
          <w:b w:val="0"/>
          <w:i w:val="0"/>
          <w:color w:val="1F2937"/>
          <w:sz w:val="20"/>
        </w:rPr>
        <w:t>目的：在一頁回答「公司目前賣得如何、是否達標、獲利是否健康、配送是否穩定」。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1984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區塊</w:t>
            </w:r>
          </w:p>
        </w:tc>
        <w:tc>
          <w:tcPr>
            <w:tcW w:type="dxa" w:w="4195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內容</w:t>
            </w:r>
          </w:p>
        </w:tc>
        <w:tc>
          <w:tcPr>
            <w:tcW w:type="dxa" w:w="3458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Business Question</w:t>
            </w:r>
          </w:p>
        </w:tc>
      </w:tr>
      <w:tr>
        <w:trPr>
          <w:cantSplit/>
        </w:trPr>
        <w:tc>
          <w:tcPr>
            <w:tcW w:type="dxa" w:w="1984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KPI Row 1</w:t>
            </w:r>
          </w:p>
        </w:tc>
        <w:tc>
          <w:tcPr>
            <w:tcW w:type="dxa" w:w="4195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Total Revenue、Revenue Target、Achievement %、Revenue Variance</w:t>
            </w:r>
          </w:p>
        </w:tc>
        <w:tc>
          <w:tcPr>
            <w:tcW w:type="dxa" w:w="3458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實際營收與目標差距多大？</w:t>
            </w:r>
          </w:p>
        </w:tc>
      </w:tr>
      <w:tr>
        <w:trPr>
          <w:cantSplit/>
        </w:trPr>
        <w:tc>
          <w:tcPr>
            <w:tcW w:type="dxa" w:w="1984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KPI Row 2</w:t>
            </w:r>
          </w:p>
        </w:tc>
        <w:tc>
          <w:tcPr>
            <w:tcW w:type="dxa" w:w="4195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Gross Profit、Gross Margin %、Completed Orders、On-Time Delivery Rate</w:t>
            </w:r>
          </w:p>
        </w:tc>
        <w:tc>
          <w:tcPr>
            <w:tcW w:type="dxa" w:w="3458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營收品質、交易量與履約表現如何？</w:t>
            </w:r>
          </w:p>
        </w:tc>
      </w:tr>
      <w:tr>
        <w:trPr>
          <w:cantSplit/>
        </w:trPr>
        <w:tc>
          <w:tcPr>
            <w:tcW w:type="dxa" w:w="1984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Trend Chart</w:t>
            </w:r>
          </w:p>
        </w:tc>
        <w:tc>
          <w:tcPr>
            <w:tcW w:type="dxa" w:w="4195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Monthly Revenue vs Target</w:t>
            </w:r>
          </w:p>
        </w:tc>
        <w:tc>
          <w:tcPr>
            <w:tcW w:type="dxa" w:w="3458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差距是否集中在特定月份？</w:t>
            </w:r>
          </w:p>
        </w:tc>
      </w:tr>
      <w:tr>
        <w:trPr>
          <w:cantSplit/>
        </w:trPr>
        <w:tc>
          <w:tcPr>
            <w:tcW w:type="dxa" w:w="1984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Slicers</w:t>
            </w:r>
          </w:p>
        </w:tc>
        <w:tc>
          <w:tcPr>
            <w:tcW w:type="dxa" w:w="4195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Year、Region</w:t>
            </w:r>
          </w:p>
        </w:tc>
        <w:tc>
          <w:tcPr>
            <w:tcW w:type="dxa" w:w="3458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特定年度或區域是否有不同表現？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FF6FF"/>
            <w:tcBorders>
              <w:top w:val="single" w:sz="4" w:color="CBD5E1"/>
              <w:left w:val="single" w:sz="18" w:color="2563EB"/>
              <w:bottom w:val="single" w:sz="4" w:color="CBD5E1"/>
              <w:right w:val="single" w:sz="4" w:color="CBD5E1"/>
            </w:tcBorders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E3A8A"/>
                <w:sz w:val="21"/>
              </w:rPr>
              <w:t>Executive Page 精簡原則</w:t>
              <w:br/>
            </w:r>
            <w:r>
              <w:rPr>
                <w:rFonts w:ascii="Noto Sans CJK TC" w:hAnsi="Noto Sans CJK TC" w:eastAsia="Noto Sans CJK TC"/>
                <w:color w:val="1F2937"/>
                <w:sz w:val="19"/>
              </w:rPr>
              <w:t>最初曾放入 Total Estimated Cost、Average Order Value 與 On-Time Deliveries 等更多 cards；polish 時縮減為 8 個最有管理價值的 KPI，避免首頁成為指標堆疊。</w:t>
            </w:r>
          </w:p>
        </w:tc>
      </w:tr>
    </w:tbl>
    <w:p>
      <w:pPr>
        <w:spacing w:after="0"/>
      </w:pPr>
    </w:p>
    <w:p>
      <w:pPr>
        <w:pStyle w:val="Heading2"/>
      </w:pPr>
      <w:r>
        <w:t>8.3 Product Analytics</w:t>
      </w:r>
    </w:p>
    <w:p>
      <w:pPr>
        <w:spacing w:after="100" w:line="276" w:lineRule="auto"/>
      </w:pPr>
      <w:r>
        <w:rPr>
          <w:rFonts w:ascii="Noto Sans CJK TC" w:hAnsi="Noto Sans CJK TC" w:eastAsia="Noto Sans CJK TC"/>
          <w:b w:val="0"/>
          <w:i w:val="0"/>
          <w:color w:val="1F2937"/>
          <w:sz w:val="20"/>
        </w:rPr>
        <w:t>目的：確認收入與毛利由哪些產品類別與單品帶動，並避免只看 Revenue 而忽略 Margin。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2835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Visual</w:t>
            </w:r>
          </w:p>
        </w:tc>
        <w:tc>
          <w:tcPr>
            <w:tcW w:type="dxa" w:w="4252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Fields / Measures</w:t>
            </w:r>
          </w:p>
        </w:tc>
        <w:tc>
          <w:tcPr>
            <w:tcW w:type="dxa" w:w="2551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6"/>
              </w:rPr>
              <w:t>Top 10 Product Details</w:t>
            </w:r>
          </w:p>
        </w:tc>
        <w:tc>
          <w:tcPr>
            <w:tcW w:type="dxa" w:w="4252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6"/>
              </w:rPr>
              <w:t>ProductName、Category、Total Revenue、Gross Profit、Gross Margin %、Completed Orders</w:t>
            </w:r>
          </w:p>
        </w:tc>
        <w:tc>
          <w:tcPr>
            <w:tcW w:type="dxa" w:w="2551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6"/>
              </w:rPr>
              <w:t>提供可排序、可查核的產品明細</w:t>
            </w:r>
          </w:p>
        </w:tc>
      </w:tr>
      <w:tr>
        <w:trPr>
          <w:cantSplit/>
        </w:trPr>
        <w:tc>
          <w:tcPr>
            <w:tcW w:type="dxa" w:w="2835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6"/>
              </w:rPr>
              <w:t>Revenue &amp; Gross Profit by Category</w:t>
            </w:r>
          </w:p>
        </w:tc>
        <w:tc>
          <w:tcPr>
            <w:tcW w:type="dxa" w:w="4252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6"/>
              </w:rPr>
              <w:t>Category + Total Revenue + Gross Profit；Gross Margin % tooltip</w:t>
            </w:r>
          </w:p>
        </w:tc>
        <w:tc>
          <w:tcPr>
            <w:tcW w:type="dxa" w:w="2551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6"/>
              </w:rPr>
              <w:t>比較類別規模與獲利貢獻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6"/>
              </w:rPr>
              <w:t>Top 10 Products by Revenue</w:t>
            </w:r>
          </w:p>
        </w:tc>
        <w:tc>
          <w:tcPr>
            <w:tcW w:type="dxa" w:w="4252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6"/>
              </w:rPr>
              <w:t>ProductName + Total Revenue；Top N = 10</w:t>
            </w:r>
          </w:p>
        </w:tc>
        <w:tc>
          <w:tcPr>
            <w:tcW w:type="dxa" w:w="2551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6"/>
              </w:rPr>
              <w:t>快速找出主要 revenue drivers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Noto Sans CJK TC" w:hAnsi="Noto Sans CJK TC" w:eastAsia="Noto Sans CJK TC"/>
          <w:b w:val="0"/>
          <w:i w:val="0"/>
          <w:color w:val="475569"/>
          <w:sz w:val="18"/>
        </w:rPr>
        <w:t>資料中的高營收產品包含 Phone Holder 2、Seat Cover 1 與 Tail Light 3。Top 10 products 合計 Revenue 約 1.13 Mio.，Gross Margin 約 43.8%。</w:t>
      </w:r>
    </w:p>
    <w:p>
      <w:r>
        <w:br w:type="page"/>
      </w:r>
    </w:p>
    <w:p>
      <w:pPr>
        <w:pStyle w:val="Heading2"/>
      </w:pPr>
      <w:r>
        <w:t>8.4 Customer Analytics</w:t>
      </w:r>
    </w:p>
    <w:p>
      <w:pPr>
        <w:spacing w:after="100" w:line="276" w:lineRule="auto"/>
      </w:pPr>
      <w:r>
        <w:rPr>
          <w:rFonts w:ascii="Noto Sans CJK TC" w:hAnsi="Noto Sans CJK TC" w:eastAsia="Noto Sans CJK TC"/>
          <w:b w:val="0"/>
          <w:i w:val="0"/>
          <w:color w:val="1F2937"/>
          <w:sz w:val="20"/>
        </w:rPr>
        <w:t>目的：找出高價值客戶與主要 customer segment，並同時檢查 Revenue、Margin、Order Frequency 與 AOV。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2835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Visual</w:t>
            </w:r>
          </w:p>
        </w:tc>
        <w:tc>
          <w:tcPr>
            <w:tcW w:type="dxa" w:w="4252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Fields / Measures</w:t>
            </w:r>
          </w:p>
        </w:tc>
        <w:tc>
          <w:tcPr>
            <w:tcW w:type="dxa" w:w="2551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6"/>
              </w:rPr>
              <w:t>Top 10 Customer Details</w:t>
            </w:r>
          </w:p>
        </w:tc>
        <w:tc>
          <w:tcPr>
            <w:tcW w:type="dxa" w:w="4252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6"/>
              </w:rPr>
              <w:t>CustomerName、Segment、Country、Revenue、Profit、Margin、Orders、AOV</w:t>
            </w:r>
          </w:p>
        </w:tc>
        <w:tc>
          <w:tcPr>
            <w:tcW w:type="dxa" w:w="2551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6"/>
              </w:rPr>
              <w:t>辨識高價值客戶及其交易品質</w:t>
            </w:r>
          </w:p>
        </w:tc>
      </w:tr>
      <w:tr>
        <w:trPr>
          <w:cantSplit/>
        </w:trPr>
        <w:tc>
          <w:tcPr>
            <w:tcW w:type="dxa" w:w="2835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6"/>
              </w:rPr>
              <w:t>Top 10 Customers by Revenue</w:t>
            </w:r>
          </w:p>
        </w:tc>
        <w:tc>
          <w:tcPr>
            <w:tcW w:type="dxa" w:w="4252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6"/>
              </w:rPr>
              <w:t>CustomerName + Total Revenue；Top N = 10</w:t>
            </w:r>
          </w:p>
        </w:tc>
        <w:tc>
          <w:tcPr>
            <w:tcW w:type="dxa" w:w="2551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6"/>
              </w:rPr>
              <w:t>快速比較主要客戶貢獻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6"/>
              </w:rPr>
              <w:t>Revenue by Customer Segment</w:t>
            </w:r>
          </w:p>
        </w:tc>
        <w:tc>
          <w:tcPr>
            <w:tcW w:type="dxa" w:w="4252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6"/>
              </w:rPr>
              <w:t>CustomerSegment + Total Revenue</w:t>
            </w:r>
          </w:p>
        </w:tc>
        <w:tc>
          <w:tcPr>
            <w:tcW w:type="dxa" w:w="2551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6"/>
              </w:rPr>
              <w:t>比較 Retail、Workshop、Fleet 規模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Noto Sans CJK TC" w:hAnsi="Noto Sans CJK TC" w:eastAsia="Noto Sans CJK TC"/>
          <w:b w:val="0"/>
          <w:i w:val="0"/>
          <w:color w:val="475569"/>
          <w:sz w:val="18"/>
        </w:rPr>
        <w:t>資料中 Retail 為最大營收 segment；Customer 5069 為最高營收客戶。Customer 5080 在 top customers 中具有較高的 Average Order Value，顯示 revenue rank 與 order value 不一定完全一致。</w:t>
      </w:r>
    </w:p>
    <w:p>
      <w:pPr>
        <w:pStyle w:val="Heading2"/>
      </w:pPr>
      <w:r>
        <w:t>8.5 Operations Analytics</w:t>
      </w:r>
    </w:p>
    <w:p>
      <w:pPr>
        <w:spacing w:after="100" w:line="276" w:lineRule="auto"/>
      </w:pPr>
      <w:r>
        <w:rPr>
          <w:rFonts w:ascii="Noto Sans CJK TC" w:hAnsi="Noto Sans CJK TC" w:eastAsia="Noto Sans CJK TC"/>
          <w:b w:val="0"/>
          <w:i w:val="0"/>
          <w:color w:val="1F2937"/>
          <w:sz w:val="20"/>
        </w:rPr>
        <w:t>目的：把配送績效拆成整體 KPI、Region 比較與 monthly stability，協助定位 operational weakness。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2835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Visual</w:t>
            </w:r>
          </w:p>
        </w:tc>
        <w:tc>
          <w:tcPr>
            <w:tcW w:type="dxa" w:w="3685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內容</w:t>
            </w:r>
          </w:p>
        </w:tc>
        <w:tc>
          <w:tcPr>
            <w:tcW w:type="dxa" w:w="3118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6"/>
              </w:rPr>
              <w:t>KPI Cards</w:t>
            </w:r>
          </w:p>
        </w:tc>
        <w:tc>
          <w:tcPr>
            <w:tcW w:type="dxa" w:w="3685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6"/>
              </w:rPr>
              <w:t>Late Delivery Rate、Average Delivery Days</w:t>
            </w:r>
          </w:p>
        </w:tc>
        <w:tc>
          <w:tcPr>
            <w:tcW w:type="dxa" w:w="3118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6"/>
              </w:rPr>
              <w:t>快速掌握整體配送風險</w:t>
            </w:r>
          </w:p>
        </w:tc>
      </w:tr>
      <w:tr>
        <w:trPr>
          <w:cantSplit/>
        </w:trPr>
        <w:tc>
          <w:tcPr>
            <w:tcW w:type="dxa" w:w="2835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6"/>
              </w:rPr>
              <w:t>On-Time Delivery Rate by Region</w:t>
            </w:r>
          </w:p>
        </w:tc>
        <w:tc>
          <w:tcPr>
            <w:tcW w:type="dxa" w:w="3685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6"/>
              </w:rPr>
              <w:t>North / South / East / West</w:t>
            </w:r>
          </w:p>
        </w:tc>
        <w:tc>
          <w:tcPr>
            <w:tcW w:type="dxa" w:w="3118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6"/>
              </w:rPr>
              <w:t>比較區域準時率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6"/>
              </w:rPr>
              <w:t>Average Delivery Days by Region</w:t>
            </w:r>
          </w:p>
        </w:tc>
        <w:tc>
          <w:tcPr>
            <w:tcW w:type="dxa" w:w="3685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6"/>
              </w:rPr>
              <w:t>Region + Average Delivery Days</w:t>
            </w:r>
          </w:p>
        </w:tc>
        <w:tc>
          <w:tcPr>
            <w:tcW w:type="dxa" w:w="3118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6"/>
              </w:rPr>
              <w:t>確認低準時率是否伴隨較長配送時間</w:t>
            </w:r>
          </w:p>
        </w:tc>
      </w:tr>
      <w:tr>
        <w:trPr>
          <w:cantSplit/>
        </w:trPr>
        <w:tc>
          <w:tcPr>
            <w:tcW w:type="dxa" w:w="2835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6"/>
              </w:rPr>
              <w:t>Monthly On-Time Delivery Rate</w:t>
            </w:r>
          </w:p>
        </w:tc>
        <w:tc>
          <w:tcPr>
            <w:tcW w:type="dxa" w:w="3685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6"/>
              </w:rPr>
              <w:t>YearMonth + On-Time Delivery Rate</w:t>
            </w:r>
          </w:p>
        </w:tc>
        <w:tc>
          <w:tcPr>
            <w:tcW w:type="dxa" w:w="3118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6"/>
              </w:rPr>
              <w:t>觀察波動、改善或異常月份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6"/>
              </w:rPr>
              <w:t>Monthly Delivery Status</w:t>
            </w:r>
          </w:p>
        </w:tc>
        <w:tc>
          <w:tcPr>
            <w:tcW w:type="dxa" w:w="3685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6"/>
              </w:rPr>
              <w:t>On-Time Deliveries vs Late Deliveries</w:t>
            </w:r>
          </w:p>
        </w:tc>
        <w:tc>
          <w:tcPr>
            <w:tcW w:type="dxa" w:w="3118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6"/>
              </w:rPr>
              <w:t>用實際筆數補足百分比解讀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FF7ED"/>
            <w:tcBorders>
              <w:top w:val="single" w:sz="4" w:color="CBD5E1"/>
              <w:left w:val="single" w:sz="18" w:color="F59E0B"/>
              <w:bottom w:val="single" w:sz="4" w:color="CBD5E1"/>
              <w:right w:val="single" w:sz="4" w:color="CBD5E1"/>
            </w:tcBorders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E3A8A"/>
                <w:sz w:val="21"/>
              </w:rPr>
              <w:t>Operations Insight</w:t>
              <w:br/>
            </w:r>
            <w:r>
              <w:rPr>
                <w:rFonts w:ascii="Noto Sans CJK TC" w:hAnsi="Noto Sans CJK TC" w:eastAsia="Noto Sans CJK TC"/>
                <w:color w:val="1F2937"/>
                <w:sz w:val="19"/>
              </w:rPr>
              <w:t>North 的 On-Time Delivery Rate 約 74.0%，West 約 71.1%；2024-02 與 2024-10 為較弱月份，2025 的月度準時率相對穩定。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Polish、Formatting 與 QA（簡化紀錄）</w:t>
      </w:r>
    </w:p>
    <w:p>
      <w:pPr>
        <w:spacing w:after="100" w:line="276" w:lineRule="auto"/>
      </w:pPr>
      <w:r>
        <w:rPr>
          <w:rFonts w:ascii="Noto Sans CJK TC" w:hAnsi="Noto Sans CJK TC" w:eastAsia="Noto Sans CJK TC"/>
          <w:b w:val="0"/>
          <w:i w:val="0"/>
          <w:color w:val="1F2937"/>
          <w:sz w:val="20"/>
        </w:rPr>
        <w:t>美化不是主要分析邏輯，因此本文件只保留可重複使用的規則，不逐步記錄所有格式面板位置。</w:t>
      </w:r>
    </w:p>
    <w:p>
      <w:pPr>
        <w:pStyle w:val="Heading2"/>
      </w:pPr>
      <w:r>
        <w:t>9.1 Theme &amp; Visual System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3402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6236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設定</w:t>
            </w:r>
          </w:p>
        </w:tc>
      </w:tr>
      <w:tr>
        <w:trPr>
          <w:cantSplit/>
        </w:trPr>
        <w:tc>
          <w:tcPr>
            <w:tcW w:type="dxa" w:w="3402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Primary Blue</w:t>
            </w:r>
          </w:p>
        </w:tc>
        <w:tc>
          <w:tcPr>
            <w:tcW w:type="dxa" w:w="6236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#2563EB</w:t>
            </w:r>
          </w:p>
        </w:tc>
      </w:tr>
      <w:tr>
        <w:trPr>
          <w:cantSplit/>
        </w:trPr>
        <w:tc>
          <w:tcPr>
            <w:tcW w:type="dxa" w:w="3402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Dark Navy</w:t>
            </w:r>
          </w:p>
        </w:tc>
        <w:tc>
          <w:tcPr>
            <w:tcW w:type="dxa" w:w="6236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#1E3A8A</w:t>
            </w:r>
          </w:p>
        </w:tc>
      </w:tr>
      <w:tr>
        <w:trPr>
          <w:cantSplit/>
        </w:trPr>
        <w:tc>
          <w:tcPr>
            <w:tcW w:type="dxa" w:w="3402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Positive</w:t>
            </w:r>
          </w:p>
        </w:tc>
        <w:tc>
          <w:tcPr>
            <w:tcW w:type="dxa" w:w="6236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#16A34A</w:t>
            </w:r>
          </w:p>
        </w:tc>
      </w:tr>
      <w:tr>
        <w:trPr>
          <w:cantSplit/>
        </w:trPr>
        <w:tc>
          <w:tcPr>
            <w:tcW w:type="dxa" w:w="3402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Negative</w:t>
            </w:r>
          </w:p>
        </w:tc>
        <w:tc>
          <w:tcPr>
            <w:tcW w:type="dxa" w:w="6236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#DC2626</w:t>
            </w:r>
          </w:p>
        </w:tc>
      </w:tr>
      <w:tr>
        <w:trPr>
          <w:cantSplit/>
        </w:trPr>
        <w:tc>
          <w:tcPr>
            <w:tcW w:type="dxa" w:w="3402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Text</w:t>
            </w:r>
          </w:p>
        </w:tc>
        <w:tc>
          <w:tcPr>
            <w:tcW w:type="dxa" w:w="6236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#1F2937</w:t>
            </w:r>
          </w:p>
        </w:tc>
      </w:tr>
      <w:tr>
        <w:trPr>
          <w:cantSplit/>
        </w:trPr>
        <w:tc>
          <w:tcPr>
            <w:tcW w:type="dxa" w:w="3402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Background</w:t>
            </w:r>
          </w:p>
        </w:tc>
        <w:tc>
          <w:tcPr>
            <w:tcW w:type="dxa" w:w="6236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#FFFFFF</w:t>
            </w:r>
          </w:p>
        </w:tc>
      </w:tr>
    </w:tbl>
    <w:p>
      <w:pPr>
        <w:spacing w:after="0"/>
      </w:pPr>
    </w:p>
    <w:p>
      <w:pPr>
        <w:pStyle w:val="Heading2"/>
      </w:pPr>
      <w:r>
        <w:t>9.2 Layout Rules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color w:val="1F2937"/>
          <w:sz w:val="20"/>
        </w:rPr>
        <w:t>統一頁面 Header、藍色分隔線與 Page Navigator。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color w:val="1F2937"/>
          <w:sz w:val="20"/>
        </w:rPr>
        <w:t>KPI cards 使用一致高度、水平分布、白底、淡灰邊框與圓角。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color w:val="1F2937"/>
          <w:sz w:val="20"/>
        </w:rPr>
        <w:t>圖表標題改成簡潔英文，移除自動產生的德文「nach / und」。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color w:val="1F2937"/>
          <w:sz w:val="20"/>
        </w:rPr>
        <w:t>關閉重複的 X / Y axis titles，但保留月份、產品、客戶、Region 與數值刻度。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color w:val="1F2937"/>
          <w:sz w:val="20"/>
        </w:rPr>
        <w:t>Revenue 類 cards 使用 Millions、2 decimals；counts 使用 thousands separator。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color w:val="1F2937"/>
          <w:sz w:val="20"/>
        </w:rPr>
        <w:t>折線圖 Y-axis 從 0 開始，避免視覺誇大 Actual 與 Target 差距。</w:t>
      </w:r>
    </w:p>
    <w:p>
      <w:pPr>
        <w:pStyle w:val="Heading2"/>
      </w:pPr>
      <w:r>
        <w:t>9.3 Final QA Checklist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7370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檢查</w:t>
            </w:r>
          </w:p>
        </w:tc>
        <w:tc>
          <w:tcPr>
            <w:tcW w:type="dxa" w:w="2268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結果</w:t>
            </w:r>
          </w:p>
        </w:tc>
      </w:tr>
      <w:tr>
        <w:trPr>
          <w:cantSplit/>
        </w:trPr>
        <w:tc>
          <w:tcPr>
            <w:tcW w:type="dxa" w:w="7370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四頁 Navigator 可切換，active page 正確反白</w:t>
            </w:r>
          </w:p>
        </w:tc>
        <w:tc>
          <w:tcPr>
            <w:tcW w:type="dxa" w:w="2268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7370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Year / Region filter 可更新相關 visuals</w:t>
            </w:r>
          </w:p>
        </w:tc>
        <w:tc>
          <w:tcPr>
            <w:tcW w:type="dxa" w:w="2268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7370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Actual 與 Target 同時受 DateTable / DimRegion 篩選</w:t>
            </w:r>
          </w:p>
        </w:tc>
        <w:tc>
          <w:tcPr>
            <w:tcW w:type="dxa" w:w="2268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7370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Revenue / Profit 只計 Completed orders</w:t>
            </w:r>
          </w:p>
        </w:tc>
        <w:tc>
          <w:tcPr>
            <w:tcW w:type="dxa" w:w="2268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7370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數字格式、百分比與千分位一致</w:t>
            </w:r>
          </w:p>
        </w:tc>
        <w:tc>
          <w:tcPr>
            <w:tcW w:type="dxa" w:w="2268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7370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所有頁面已另存 Final 版本</w:t>
            </w:r>
          </w:p>
        </w:tc>
        <w:tc>
          <w:tcPr>
            <w:tcW w:type="dxa" w:w="2268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Pass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0FDF4"/>
            <w:tcBorders>
              <w:top w:val="single" w:sz="4" w:color="CBD5E1"/>
              <w:left w:val="single" w:sz="18" w:color="16A34A"/>
              <w:bottom w:val="single" w:sz="4" w:color="CBD5E1"/>
              <w:right w:val="single" w:sz="4" w:color="CBD5E1"/>
            </w:tcBorders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E3A8A"/>
                <w:sz w:val="21"/>
              </w:rPr>
              <w:t>Final PBIX</w:t>
              <w:br/>
            </w:r>
            <w:r>
              <w:rPr>
                <w:rFonts w:ascii="Noto Sans CJK TC" w:hAnsi="Noto Sans CJK TC" w:eastAsia="Noto Sans CJK TC"/>
                <w:color w:val="1F2937"/>
                <w:sz w:val="19"/>
              </w:rPr>
              <w:t>AutoParts_Sales_Performance_Dashboard_v03_Final.pbix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Portfolio 與面試表達</w:t>
      </w:r>
    </w:p>
    <w:p>
      <w:pPr>
        <w:pStyle w:val="Heading2"/>
      </w:pPr>
      <w:r>
        <w:t>10.1 一句話版本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FF6FF"/>
            <w:tcBorders>
              <w:top w:val="single" w:sz="4" w:color="CBD5E1"/>
              <w:left w:val="single" w:sz="18" w:color="2563EB"/>
              <w:bottom w:val="single" w:sz="4" w:color="CBD5E1"/>
              <w:right w:val="single" w:sz="4" w:color="CBD5E1"/>
            </w:tcBorders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E3A8A"/>
                <w:sz w:val="21"/>
              </w:rPr>
              <w:t>English Portfolio Summary</w:t>
              <w:br/>
            </w:r>
            <w:r>
              <w:rPr>
                <w:rFonts w:ascii="Noto Sans CJK TC" w:hAnsi="Noto Sans CJK TC" w:eastAsia="Noto Sans CJK TC"/>
                <w:color w:val="1F2937"/>
                <w:sz w:val="19"/>
              </w:rPr>
              <w:t>Built an end-to-end automotive parts sales analytics solution using SQL Server, Power Query, a star-schema data model, DAX measures, and a four-page interactive Power BI dashboard covering executive performance, product, customer, and delivery operations.</w:t>
            </w:r>
          </w:p>
        </w:tc>
      </w:tr>
    </w:tbl>
    <w:p>
      <w:pPr>
        <w:spacing w:after="0"/>
      </w:pPr>
    </w:p>
    <w:p>
      <w:pPr>
        <w:pStyle w:val="Heading2"/>
      </w:pPr>
      <w:r>
        <w:t>10.2 履歷 Bullet 建議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color w:val="1F2937"/>
          <w:sz w:val="20"/>
        </w:rPr>
        <w:t>Designed a relational SQL Server database with staging, type-safe data loading, PK/FK constraints, validation queries, and reusable sales views for 12,000 automotive parts orders.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color w:val="1F2937"/>
          <w:sz w:val="20"/>
        </w:rPr>
        <w:t>Built a Power BI star schema connecting orders, products, customers, date, region, and monthly targets, enabling consistent cross-filtering of actual and target performance.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color w:val="1F2937"/>
          <w:sz w:val="20"/>
        </w:rPr>
        <w:t>Developed 14 DAX measures for revenue, target achievement, gross profit, margin, average order value, and delivery KPIs, and delivered a polished four-page interactive dashboard.</w:t>
      </w:r>
    </w:p>
    <w:p>
      <w:pPr>
        <w:pStyle w:val="Heading2"/>
      </w:pPr>
      <w:r>
        <w:t>10.3 面試說法：技術決策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3118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面試問題</w:t>
            </w:r>
          </w:p>
        </w:tc>
        <w:tc>
          <w:tcPr>
            <w:tcW w:type="dxa" w:w="6520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可回答重點</w:t>
            </w:r>
          </w:p>
        </w:tc>
      </w:tr>
      <w:tr>
        <w:trPr>
          <w:cantSplit/>
        </w:trPr>
        <w:tc>
          <w:tcPr>
            <w:tcW w:type="dxa" w:w="3118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Why use a staging table?</w:t>
            </w:r>
          </w:p>
        </w:tc>
        <w:tc>
          <w:tcPr>
            <w:tcW w:type="dxa" w:w="6520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先接 raw CSV，再用 TRY_CONVERT / NULLIF 安全轉型，避免錯誤資料直接進正式表。</w:t>
            </w:r>
          </w:p>
        </w:tc>
      </w:tr>
      <w:tr>
        <w:trPr>
          <w:cantSplit/>
        </w:trPr>
        <w:tc>
          <w:tcPr>
            <w:tcW w:type="dxa" w:w="3118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Why build DateTable and DimRegion?</w:t>
            </w:r>
          </w:p>
        </w:tc>
        <w:tc>
          <w:tcPr>
            <w:tcW w:type="dxa" w:w="6520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讓 Orders 與 MonthlyTargets 共用相同 dimensions，確保 Actual / Target 在 slicers 下同步。</w:t>
            </w:r>
          </w:p>
        </w:tc>
      </w:tr>
      <w:tr>
        <w:trPr>
          <w:cantSplit/>
        </w:trPr>
        <w:tc>
          <w:tcPr>
            <w:tcW w:type="dxa" w:w="3118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Why Measures instead of calculated columns?</w:t>
            </w:r>
          </w:p>
        </w:tc>
        <w:tc>
          <w:tcPr>
            <w:tcW w:type="dxa" w:w="6520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KPI 需要隨 Year、Region、Product、Customer filter context 動態重算。</w:t>
            </w:r>
          </w:p>
        </w:tc>
      </w:tr>
      <w:tr>
        <w:trPr>
          <w:cantSplit/>
        </w:trPr>
        <w:tc>
          <w:tcPr>
            <w:tcW w:type="dxa" w:w="3118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Why only Completed orders?</w:t>
            </w:r>
          </w:p>
        </w:tc>
        <w:tc>
          <w:tcPr>
            <w:tcW w:type="dxa" w:w="6520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Revenue 與 operation performance 應代表已實現交易；Pending / Cancelled 不應混入 Actual。</w:t>
            </w:r>
          </w:p>
        </w:tc>
      </w:tr>
      <w:tr>
        <w:trPr>
          <w:cantSplit/>
        </w:trPr>
        <w:tc>
          <w:tcPr>
            <w:tcW w:type="dxa" w:w="3118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How did you validate the dashboard?</w:t>
            </w:r>
          </w:p>
        </w:tc>
        <w:tc>
          <w:tcPr>
            <w:tcW w:type="dxa" w:w="6520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7"/>
              </w:rPr>
              <w:t>比對 SQL view 與 Power BI measures、檢查 row counts、relationships、filter response、target totals 與 sample slices。</w:t>
            </w:r>
          </w:p>
        </w:tc>
      </w:tr>
    </w:tbl>
    <w:p>
      <w:pPr>
        <w:spacing w:after="0"/>
      </w:pPr>
    </w:p>
    <w:p>
      <w:pPr>
        <w:pStyle w:val="Heading2"/>
      </w:pPr>
      <w:r>
        <w:t>10.4 專案完成狀態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6803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835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6803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SQL Server database &amp; advanced SQL</w:t>
            </w:r>
          </w:p>
        </w:tc>
        <w:tc>
          <w:tcPr>
            <w:tcW w:type="dxa" w:w="2835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Completed</w:t>
            </w:r>
          </w:p>
        </w:tc>
      </w:tr>
      <w:tr>
        <w:trPr>
          <w:cantSplit/>
        </w:trPr>
        <w:tc>
          <w:tcPr>
            <w:tcW w:type="dxa" w:w="6803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Power BI ingestion, model, DAX &amp; dashboard</w:t>
            </w:r>
          </w:p>
        </w:tc>
        <w:tc>
          <w:tcPr>
            <w:tcW w:type="dxa" w:w="2835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Completed</w:t>
            </w:r>
          </w:p>
        </w:tc>
      </w:tr>
      <w:tr>
        <w:trPr>
          <w:cantSplit/>
        </w:trPr>
        <w:tc>
          <w:tcPr>
            <w:tcW w:type="dxa" w:w="6803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Dashboard polish &amp; page navigation</w:t>
            </w:r>
          </w:p>
        </w:tc>
        <w:tc>
          <w:tcPr>
            <w:tcW w:type="dxa" w:w="2835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Completed</w:t>
            </w:r>
          </w:p>
        </w:tc>
      </w:tr>
      <w:tr>
        <w:trPr>
          <w:cantSplit/>
        </w:trPr>
        <w:tc>
          <w:tcPr>
            <w:tcW w:type="dxa" w:w="6803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Microsoft Fabric cloud layer</w:t>
            </w:r>
          </w:p>
        </w:tc>
        <w:tc>
          <w:tcPr>
            <w:tcW w:type="dxa" w:w="2835"/>
            <w:shd w:fill="F5F7FA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Next phase</w:t>
            </w:r>
          </w:p>
        </w:tc>
      </w:tr>
      <w:tr>
        <w:trPr>
          <w:cantSplit/>
        </w:trPr>
        <w:tc>
          <w:tcPr>
            <w:tcW w:type="dxa" w:w="6803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Final portfolio README / screenshots</w:t>
            </w:r>
          </w:p>
        </w:tc>
        <w:tc>
          <w:tcPr>
            <w:tcW w:type="dxa" w:w="2835"/>
            <w:shd w:fill="FFFFFF"/>
            <w:tcBorders>
              <w:bottom w:val="single" w:sz="4" w:color="DDE3EA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1F2937"/>
                <w:sz w:val="18"/>
              </w:rPr>
              <w:t>After Fabric</w:t>
            </w:r>
          </w:p>
        </w:tc>
      </w:tr>
    </w:tbl>
    <w:p>
      <w:pPr>
        <w:spacing w:after="0"/>
      </w:pPr>
    </w:p>
    <w:p>
      <w:pPr>
        <w:spacing w:after="0" w:line="276" w:lineRule="auto"/>
        <w:jc w:val="center"/>
      </w:pPr>
      <w:r>
        <w:rPr>
          <w:rFonts w:ascii="Noto Sans CJK TC" w:hAnsi="Noto Sans CJK TC" w:eastAsia="Noto Sans CJK TC"/>
          <w:b/>
          <w:i w:val="0"/>
          <w:color w:val="1E3A8A"/>
          <w:sz w:val="21"/>
        </w:rPr>
        <w:t>Power BI 階段至此正式結束。下一階段將在不重做分析邏輯的前提下，把相同資料與報表延伸到 Microsoft Fabric Workspace / Lakehouse / OneLake，形成 cloud-ready 的作品集架構。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TC" w:hAnsi="Noto Sans CJK TC" w:eastAsia="Noto Sans CJK TC"/>
        <w:color w:val="64748B"/>
        <w:sz w:val="17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1" w:color="CBD5E1"/>
      </w:pBdr>
    </w:pPr>
    <w:r>
      <w:rPr>
        <w:rFonts w:ascii="Noto Sans CJK TC" w:hAnsi="Noto Sans CJK TC" w:eastAsia="Noto Sans CJK TC"/>
        <w:b/>
        <w:color w:val="64748B"/>
        <w:sz w:val="16"/>
      </w:rPr>
      <w:t>AUTO PARTS SALES PERFORMANCE ANALYTICS  |  POWER BI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TC" w:hAnsi="Noto Sans CJK TC" w:eastAsia="Noto Sans CJK T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2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E3A8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563E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 Parts Sales Performance Analytics - Power BI End-to-End Documentation</dc:title>
  <dc:subject>SQL Server, Power Query, Data Model, DAX and Four-Page Power BI Dashboard</dc:subject>
  <dc:creator>Kay-King Wo</dc:creator>
  <cp:keywords>Power BI, DAX, SQL Server, Business Analytics, Dashboard, Automotive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