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KAYLAH GORE</w:t>
      </w:r>
    </w:p>
    <w:p>
      <w:pPr>
        <w:spacing w:after="10"/>
        <w:jc w:val="center"/>
      </w:pPr>
      <w:r>
        <w:rPr>
          <w:rFonts w:ascii="Calibri" w:cs="Calibri" w:eastAsia="Calibri" w:hAnsi="Calibri"/>
          <w:color w:val="444444"/>
          <w:sz w:val="20"/>
          <w:szCs w:val="20"/>
        </w:rPr>
        <w:t xml:space="preserve">kaylah.gore@gmail.com  |  512-996-4970</w:t>
      </w:r>
    </w:p>
    <w:p>
      <w:pPr>
        <w:spacing w:after="80"/>
        <w:jc w:val="center"/>
      </w:pPr>
      <w:r>
        <w:rPr>
          <w:rFonts w:ascii="Calibri" w:cs="Calibri" w:eastAsia="Calibri" w:hAnsi="Calibri"/>
          <w:i/>
          <w:iCs/>
          <w:color w:val="444444"/>
          <w:sz w:val="20"/>
          <w:szCs w:val="20"/>
        </w:rPr>
        <w:t xml:space="preserve">Platform Engineer  |  CNCF, Google Cloud and AWS Certified</w:t>
      </w:r>
    </w:p>
    <w:p>
      <w:pPr>
        <w:pBdr>
          <w:bottom w:val="single" w:color="1F3864" w:sz="6" w:space="2"/>
        </w:pBdr>
        <w:spacing w:after="60" w:before="160"/>
      </w:pPr>
      <w:r>
        <w:rPr>
          <w:rFonts w:ascii="Calibri" w:cs="Calibri" w:eastAsia="Calibri" w:hAnsi="Calibri"/>
          <w:b/>
          <w:bCs/>
          <w:caps/>
          <w:color w:val="1F3864"/>
          <w:sz w:val="22"/>
          <w:szCs w:val="22"/>
        </w:rPr>
        <w:t xml:space="preserve">Summary</w:t>
      </w:r>
    </w:p>
    <w:p>
      <w:pPr>
        <w:spacing w:after="40"/>
      </w:pPr>
      <w:r>
        <w:rPr>
          <w:rFonts w:ascii="Calibri" w:cs="Calibri" w:eastAsia="Calibri" w:hAnsi="Calibri"/>
          <w:color w:val="444444"/>
          <w:sz w:val="20"/>
          <w:szCs w:val="20"/>
        </w:rPr>
        <w:t xml:space="preserve">Platform engineering leader designing and operating mission-critical cloud infrastructure at scale across Google Cloud and AWS in parallel production environments. Architect and govern multi-tenant platforms consumed by dozens of engineering teams; establish architectural standards and enforce compliance through policy-as-code and automated controls. Known for translating business consequence into infrastructure decisions: availability directly tied to revenue, security embedded at design time, and developer experience as a platform product metric. Mentor engineers across all levels and shape technical direction through collaboration and demonstrated excellence, without formal authority.</w:t>
      </w:r>
    </w:p>
    <w:p>
      <w:pPr>
        <w:pBdr>
          <w:bottom w:val="single" w:color="1F3864" w:sz="6" w:space="2"/>
        </w:pBdr>
        <w:spacing w:after="60" w:before="160"/>
      </w:pPr>
      <w:r>
        <w:rPr>
          <w:rFonts w:ascii="Calibri" w:cs="Calibri" w:eastAsia="Calibri" w:hAnsi="Calibri"/>
          <w:b/>
          <w:bCs/>
          <w:caps/>
          <w:color w:val="1F3864"/>
          <w:sz w:val="22"/>
          <w:szCs w:val="22"/>
        </w:rPr>
        <w:t xml:space="preserve">Core Competencies</w:t>
      </w:r>
    </w:p>
    <w:p>
      <w:pPr>
        <w:spacing w:after="40"/>
      </w:pPr>
      <w:r>
        <w:rPr>
          <w:rFonts w:ascii="Calibri" w:cs="Calibri" w:eastAsia="Calibri" w:hAnsi="Calibri"/>
          <w:color w:val="444444"/>
          <w:sz w:val="20"/>
          <w:szCs w:val="20"/>
        </w:rPr>
        <w:t xml:space="preserve">Platform Architecture &amp; Governance • Multi-Tenant System Design &amp; Isolation • Infrastructure as Code at Scale (Terraform, CloudFormation) • Kubernetes Orchestration &amp; GitOps Strategy • CI/CD Platform Ownership &amp; Build Infrastructure • Security Architecture &amp; Automated Compliance • Observability as a Platform Capability • DevSecOps &amp; Policy-as-Code • Technical Leadership &amp; Cross-Functional Influence • Engineering Mentorship &amp; Organizational Scaling</w:t>
      </w:r>
    </w:p>
    <w:p>
      <w:pPr>
        <w:pBdr>
          <w:bottom w:val="single" w:color="1F3864" w:sz="6" w:space="2"/>
        </w:pBdr>
        <w:spacing w:after="60" w:before="160"/>
      </w:pPr>
      <w:r>
        <w:rPr>
          <w:rFonts w:ascii="Calibri" w:cs="Calibri" w:eastAsia="Calibri" w:hAnsi="Calibri"/>
          <w:b/>
          <w:bCs/>
          <w:caps/>
          <w:color w:val="1F3864"/>
          <w:sz w:val="22"/>
          <w:szCs w:val="22"/>
        </w:rPr>
        <w:t xml:space="preserve">Professional Experience</w:t>
      </w:r>
    </w:p>
    <w:p>
      <w:pPr>
        <w:tabs>
          <w:tab w:val="right" w:pos="10080"/>
        </w:tabs>
        <w:spacing w:after="20" w:before="120"/>
      </w:pPr>
      <w:r>
        <w:rPr>
          <w:rFonts w:ascii="Calibri" w:cs="Calibri" w:eastAsia="Calibri" w:hAnsi="Calibri"/>
          <w:b/>
          <w:bCs/>
          <w:color w:val="000000"/>
          <w:sz w:val="21"/>
          <w:szCs w:val="21"/>
        </w:rPr>
        <w:t xml:space="preserve">Apple</w:t>
      </w:r>
      <w:r>
        <w:rPr>
          <w:rFonts w:ascii="Calibri" w:cs="Calibri" w:eastAsia="Calibri" w:hAnsi="Calibri"/>
          <w:color w:val="444444"/>
          <w:sz w:val="21"/>
          <w:szCs w:val="21"/>
        </w:rPr>
        <w:t xml:space="preserve">  |  Lead Platform Engineer</w:t>
      </w:r>
      <w:r>
        <w:rPr>
          <w:rFonts w:ascii="Calibri" w:cs="Calibri" w:eastAsia="Calibri" w:hAnsi="Calibri"/>
          <w:i/>
          <w:iCs/>
          <w:color w:val="444444"/>
          <w:sz w:val="20"/>
          <w:szCs w:val="20"/>
        </w:rPr>
        <w:t xml:space="preserve">	March 2024 – Present</w:t>
      </w:r>
    </w:p>
    <w:p>
      <w:pPr>
        <w:pStyle w:val="ListParagraph"/>
        <w:numPr>
          <w:ilvl w:val="0"/>
          <w:numId w:val="2"/>
        </w:numPr>
        <w:spacing w:after="30"/>
      </w:pPr>
      <w:r>
        <w:rPr>
          <w:rFonts w:ascii="Calibri" w:cs="Calibri" w:eastAsia="Calibri" w:hAnsi="Calibri"/>
          <w:color w:val="444444"/>
          <w:sz w:val="20"/>
          <w:szCs w:val="20"/>
        </w:rPr>
        <w:t xml:space="preserve">Lead platform engineering organization designing, delivering, and governing enterprise cloud infrastructure on GKE serving millions of daily retail transactions. Set architectural standards, establish governance patterns, and elevate team capability across infrastructure, deployment, and operational domains.</w:t>
      </w:r>
    </w:p>
    <w:p>
      <w:pPr>
        <w:pStyle w:val="ListParagraph"/>
        <w:numPr>
          <w:ilvl w:val="0"/>
          <w:numId w:val="2"/>
        </w:numPr>
        <w:spacing w:after="30"/>
      </w:pPr>
      <w:r>
        <w:rPr>
          <w:rFonts w:ascii="Calibri" w:cs="Calibri" w:eastAsia="Calibri" w:hAnsi="Calibri"/>
          <w:color w:val="444444"/>
          <w:sz w:val="20"/>
          <w:szCs w:val="20"/>
        </w:rPr>
        <w:t xml:space="preserve">Architect and operate AWS EC2 Mac dedicated host fleet — constrained capacity management at scale involving host allocation, tenancy optimization, and autoscaling tuned to developer demand. Integrated SonarQube quality gates to enforce code health as a platform standard, raising organizational shipping quality baseline.</w:t>
      </w:r>
    </w:p>
    <w:p>
      <w:pPr>
        <w:pStyle w:val="ListParagraph"/>
        <w:numPr>
          <w:ilvl w:val="0"/>
          <w:numId w:val="2"/>
        </w:numPr>
        <w:spacing w:after="30"/>
      </w:pPr>
      <w:r>
        <w:rPr>
          <w:rFonts w:ascii="Calibri" w:cs="Calibri" w:eastAsia="Calibri" w:hAnsi="Calibri"/>
          <w:color w:val="444444"/>
          <w:sz w:val="20"/>
          <w:szCs w:val="20"/>
        </w:rPr>
        <w:t xml:space="preserve">Designed and operate enterprise observability platform on Elasticsearch stack, establishing the organizational source of truth for operational intelligence, diagnostics, and production incident response across global GKE infrastructure.</w:t>
      </w:r>
    </w:p>
    <w:p>
      <w:pPr>
        <w:pStyle w:val="ListParagraph"/>
        <w:numPr>
          <w:ilvl w:val="0"/>
          <w:numId w:val="2"/>
        </w:numPr>
        <w:spacing w:after="30"/>
      </w:pPr>
      <w:r>
        <w:rPr>
          <w:rFonts w:ascii="Calibri" w:cs="Calibri" w:eastAsia="Calibri" w:hAnsi="Calibri"/>
          <w:color w:val="444444"/>
          <w:sz w:val="20"/>
          <w:szCs w:val="20"/>
        </w:rPr>
        <w:t xml:space="preserve">Established multi-tenant GitOps platform on ArgoCD, scaling from single team to organization-wide adoption with AppProject-based tenant isolation. Enforced RBAC boundaries, OIDC federation, and secrets governance to guarantee compliance and deployment auditability across all teams — platform isolation became a business risk mitigation measure.</w:t>
      </w:r>
    </w:p>
    <w:p>
      <w:pPr>
        <w:pStyle w:val="ListParagraph"/>
        <w:numPr>
          <w:ilvl w:val="0"/>
          <w:numId w:val="2"/>
        </w:numPr>
        <w:spacing w:after="30"/>
      </w:pPr>
      <w:r>
        <w:rPr>
          <w:rFonts w:ascii="Calibri" w:cs="Calibri" w:eastAsia="Calibri" w:hAnsi="Calibri"/>
          <w:color w:val="444444"/>
          <w:sz w:val="20"/>
          <w:szCs w:val="20"/>
        </w:rPr>
        <w:t xml:space="preserve">Built Python-based continuous S3 secrets-scanning service across 5 AWS accounts using 28 detection patterns. Surfaced 100+ exposed credentials, converting security auditing from periodic reactive exercise to always-on automated control integrated into operational workflows.</w:t>
      </w:r>
    </w:p>
    <w:p>
      <w:pPr>
        <w:pStyle w:val="ListParagraph"/>
        <w:numPr>
          <w:ilvl w:val="0"/>
          <w:numId w:val="2"/>
        </w:numPr>
        <w:spacing w:after="30"/>
      </w:pPr>
      <w:r>
        <w:rPr>
          <w:rFonts w:ascii="Calibri" w:cs="Calibri" w:eastAsia="Calibri" w:hAnsi="Calibri"/>
          <w:color w:val="444444"/>
          <w:sz w:val="20"/>
          <w:szCs w:val="20"/>
        </w:rPr>
        <w:t xml:space="preserve">Terraform infrastructure provisioning strategy covering multi-OS Kubernetes node pools (Linux, Windows), cluster networking, and capacity management — moved from manual configuration drift to declarative, auditable IaC with Terraform Cloud governance.</w:t>
      </w:r>
    </w:p>
    <w:p>
      <w:pPr>
        <w:pStyle w:val="ListParagraph"/>
        <w:numPr>
          <w:ilvl w:val="0"/>
          <w:numId w:val="2"/>
        </w:numPr>
        <w:spacing w:after="30"/>
      </w:pPr>
      <w:r>
        <w:rPr>
          <w:rFonts w:ascii="Calibri" w:cs="Calibri" w:eastAsia="Calibri" w:hAnsi="Calibri"/>
          <w:color w:val="444444"/>
          <w:sz w:val="20"/>
          <w:szCs w:val="20"/>
        </w:rPr>
        <w:t xml:space="preserve">Champion AI-driven platform innovation, architected and led adoption of Google Agent Development Kit with Gemini LLMs to build agentic developer workflows. Advanced organizational capability in multi-agent system design and LLM integration for productivity tooling.</w:t>
      </w:r>
    </w:p>
    <w:p>
      <w:pPr>
        <w:tabs>
          <w:tab w:val="right" w:pos="10080"/>
        </w:tabs>
        <w:spacing w:after="20" w:before="120"/>
      </w:pPr>
      <w:r>
        <w:rPr>
          <w:rFonts w:ascii="Calibri" w:cs="Calibri" w:eastAsia="Calibri" w:hAnsi="Calibri"/>
          <w:b/>
          <w:bCs/>
          <w:color w:val="000000"/>
          <w:sz w:val="21"/>
          <w:szCs w:val="21"/>
        </w:rPr>
        <w:t xml:space="preserve">Amazon Web Services</w:t>
      </w:r>
      <w:r>
        <w:rPr>
          <w:rFonts w:ascii="Calibri" w:cs="Calibri" w:eastAsia="Calibri" w:hAnsi="Calibri"/>
          <w:color w:val="444444"/>
          <w:sz w:val="21"/>
          <w:szCs w:val="21"/>
        </w:rPr>
        <w:t xml:space="preserve">  |  Solutions Architect</w:t>
      </w:r>
      <w:r>
        <w:rPr>
          <w:rFonts w:ascii="Calibri" w:cs="Calibri" w:eastAsia="Calibri" w:hAnsi="Calibri"/>
          <w:i/>
          <w:iCs/>
          <w:color w:val="444444"/>
          <w:sz w:val="20"/>
          <w:szCs w:val="20"/>
        </w:rPr>
        <w:t xml:space="preserve">	May 2022 – September 2023</w:t>
      </w:r>
    </w:p>
    <w:p>
      <w:pPr>
        <w:pStyle w:val="ListParagraph"/>
        <w:numPr>
          <w:ilvl w:val="0"/>
          <w:numId w:val="2"/>
        </w:numPr>
        <w:spacing w:after="30"/>
      </w:pPr>
      <w:r>
        <w:rPr>
          <w:rFonts w:ascii="Calibri" w:cs="Calibri" w:eastAsia="Calibri" w:hAnsi="Calibri"/>
          <w:color w:val="444444"/>
          <w:sz w:val="20"/>
          <w:szCs w:val="20"/>
        </w:rPr>
        <w:t xml:space="preserve">Served as trusted technical architect to strategic accounts representing over $30 billion in annual cloud spend. Shaped architecture decisions at executive level, translating business constraints into cloud platform strategy and operational excellence patterns.</w:t>
      </w:r>
    </w:p>
    <w:p>
      <w:pPr>
        <w:pStyle w:val="ListParagraph"/>
        <w:numPr>
          <w:ilvl w:val="0"/>
          <w:numId w:val="2"/>
        </w:numPr>
        <w:spacing w:after="30"/>
      </w:pPr>
      <w:r>
        <w:rPr>
          <w:rFonts w:ascii="Calibri" w:cs="Calibri" w:eastAsia="Calibri" w:hAnsi="Calibri"/>
          <w:color w:val="444444"/>
          <w:sz w:val="20"/>
          <w:szCs w:val="20"/>
        </w:rPr>
        <w:t xml:space="preserve">Deep technical leadership on Amazon EKS modernization engagements, guiding enterprise customers from legacy monoliths through containerization and Kubernetes adoption. Established customer technical roadmaps and coached their internal platform teams on cloud-native practices.</w:t>
      </w:r>
    </w:p>
    <w:p>
      <w:pPr>
        <w:pStyle w:val="ListParagraph"/>
        <w:numPr>
          <w:ilvl w:val="0"/>
          <w:numId w:val="2"/>
        </w:numPr>
        <w:spacing w:after="30"/>
      </w:pPr>
      <w:r>
        <w:rPr>
          <w:rFonts w:ascii="Calibri" w:cs="Calibri" w:eastAsia="Calibri" w:hAnsi="Calibri"/>
          <w:color w:val="444444"/>
          <w:sz w:val="20"/>
          <w:szCs w:val="20"/>
        </w:rPr>
        <w:t xml:space="preserve">Architected MLOps platform patterns and workflows for strategic accounts, covering model training orchestration, deployment automation, monitoring infrastructure, and lifecycle governance — enabled customers to operationalize machine learning at scale.</w:t>
      </w:r>
    </w:p>
    <w:p>
      <w:pPr>
        <w:pStyle w:val="ListParagraph"/>
        <w:numPr>
          <w:ilvl w:val="0"/>
          <w:numId w:val="2"/>
        </w:numPr>
        <w:spacing w:after="30"/>
      </w:pPr>
      <w:r>
        <w:rPr>
          <w:rFonts w:ascii="Calibri" w:cs="Calibri" w:eastAsia="Calibri" w:hAnsi="Calibri"/>
          <w:color w:val="444444"/>
          <w:sz w:val="20"/>
          <w:szCs w:val="20"/>
        </w:rPr>
        <w:t xml:space="preserve">Influenced AWS product roadmap by synthesizing customer need patterns and advocating internally. Bridged strategic accounts and AWS product teams to shape service direction and close capability gaps.</w:t>
      </w:r>
    </w:p>
    <w:p>
      <w:pPr>
        <w:tabs>
          <w:tab w:val="right" w:pos="10080"/>
        </w:tabs>
        <w:spacing w:after="20" w:before="120"/>
      </w:pPr>
      <w:r>
        <w:rPr>
          <w:rFonts w:ascii="Calibri" w:cs="Calibri" w:eastAsia="Calibri" w:hAnsi="Calibri"/>
          <w:b/>
          <w:bCs/>
          <w:color w:val="000000"/>
          <w:sz w:val="21"/>
          <w:szCs w:val="21"/>
        </w:rPr>
        <w:t xml:space="preserve">Google</w:t>
      </w:r>
      <w:r>
        <w:rPr>
          <w:rFonts w:ascii="Calibri" w:cs="Calibri" w:eastAsia="Calibri" w:hAnsi="Calibri"/>
          <w:color w:val="444444"/>
          <w:sz w:val="21"/>
          <w:szCs w:val="21"/>
        </w:rPr>
        <w:t xml:space="preserve">  |  Solutions Engineer</w:t>
      </w:r>
      <w:r>
        <w:rPr>
          <w:rFonts w:ascii="Calibri" w:cs="Calibri" w:eastAsia="Calibri" w:hAnsi="Calibri"/>
          <w:i/>
          <w:iCs/>
          <w:color w:val="444444"/>
          <w:sz w:val="20"/>
          <w:szCs w:val="20"/>
        </w:rPr>
        <w:t xml:space="preserve">	May 2021 – May 2022</w:t>
      </w:r>
    </w:p>
    <w:p>
      <w:pPr>
        <w:pStyle w:val="ListParagraph"/>
        <w:numPr>
          <w:ilvl w:val="0"/>
          <w:numId w:val="2"/>
        </w:numPr>
        <w:spacing w:after="30"/>
      </w:pPr>
      <w:r>
        <w:rPr>
          <w:rFonts w:ascii="Calibri" w:cs="Calibri" w:eastAsia="Calibri" w:hAnsi="Calibri"/>
          <w:color w:val="444444"/>
          <w:sz w:val="20"/>
          <w:szCs w:val="20"/>
        </w:rPr>
        <w:t xml:space="preserve">Led technical discovery and architecture design for enterprise application modernization initiatives. Guided customers through migration strategies from legacy infrastructure to cloud-native architectures on GCP, including risk assessment and phased transition planning.</w:t>
      </w:r>
    </w:p>
    <w:p>
      <w:pPr>
        <w:pStyle w:val="ListParagraph"/>
        <w:numPr>
          <w:ilvl w:val="0"/>
          <w:numId w:val="2"/>
        </w:numPr>
        <w:spacing w:after="30"/>
      </w:pPr>
      <w:r>
        <w:rPr>
          <w:rFonts w:ascii="Calibri" w:cs="Calibri" w:eastAsia="Calibri" w:hAnsi="Calibri"/>
          <w:color w:val="444444"/>
          <w:sz w:val="20"/>
          <w:szCs w:val="20"/>
        </w:rPr>
        <w:t xml:space="preserve">Designed and delivered technical proof-of-concept demonstrations and architecture workshops on Google Kubernetes Engine, enabling organizations to evaluate cloud-native deployment patterns and containerization strategies with confidence.</w:t>
      </w:r>
    </w:p>
    <w:p>
      <w:pPr>
        <w:pStyle w:val="ListParagraph"/>
        <w:numPr>
          <w:ilvl w:val="0"/>
          <w:numId w:val="2"/>
        </w:numPr>
        <w:spacing w:after="30"/>
      </w:pPr>
      <w:r>
        <w:rPr>
          <w:rFonts w:ascii="Calibri" w:cs="Calibri" w:eastAsia="Calibri" w:hAnsi="Calibri"/>
          <w:color w:val="444444"/>
          <w:sz w:val="20"/>
          <w:szCs w:val="20"/>
        </w:rPr>
        <w:t xml:space="preserve">Architected scalable data processing solutions leveraging Google Cloud Dataflow for real-time and batch analytics pipelines. Unlocked customer observability and operational intelligence capabilities through data platform modernization.</w:t>
      </w:r>
    </w:p>
    <w:p>
      <w:pPr>
        <w:pStyle w:val="ListParagraph"/>
        <w:numPr>
          <w:ilvl w:val="0"/>
          <w:numId w:val="2"/>
        </w:numPr>
        <w:spacing w:after="30"/>
      </w:pPr>
      <w:r>
        <w:rPr>
          <w:rFonts w:ascii="Calibri" w:cs="Calibri" w:eastAsia="Calibri" w:hAnsi="Calibri"/>
          <w:color w:val="444444"/>
          <w:sz w:val="20"/>
          <w:szCs w:val="20"/>
        </w:rPr>
        <w:t xml:space="preserve">Shaped account strategy through cross-functional collaboration with sales, product, and partner teams in startup and SMB segment, translating customer technical needs into pipeline acceleration and sales cycle improvements.</w:t>
      </w:r>
    </w:p>
    <w:p>
      <w:pPr>
        <w:tabs>
          <w:tab w:val="right" w:pos="10080"/>
        </w:tabs>
        <w:spacing w:after="20" w:before="120"/>
      </w:pPr>
      <w:r>
        <w:rPr>
          <w:rFonts w:ascii="Calibri" w:cs="Calibri" w:eastAsia="Calibri" w:hAnsi="Calibri"/>
          <w:b/>
          <w:bCs/>
          <w:color w:val="000000"/>
          <w:sz w:val="21"/>
          <w:szCs w:val="21"/>
        </w:rPr>
        <w:t xml:space="preserve">Leidos</w:t>
      </w:r>
      <w:r>
        <w:rPr>
          <w:rFonts w:ascii="Calibri" w:cs="Calibri" w:eastAsia="Calibri" w:hAnsi="Calibri"/>
          <w:color w:val="444444"/>
          <w:sz w:val="21"/>
          <w:szCs w:val="21"/>
        </w:rPr>
        <w:t xml:space="preserve">  |  DevOps Engineer</w:t>
      </w:r>
      <w:r>
        <w:rPr>
          <w:rFonts w:ascii="Calibri" w:cs="Calibri" w:eastAsia="Calibri" w:hAnsi="Calibri"/>
          <w:i/>
          <w:iCs/>
          <w:color w:val="444444"/>
          <w:sz w:val="20"/>
          <w:szCs w:val="20"/>
        </w:rPr>
        <w:t xml:space="preserve">	August 2020 – May 2021</w:t>
      </w:r>
    </w:p>
    <w:p>
      <w:pPr>
        <w:pStyle w:val="ListParagraph"/>
        <w:numPr>
          <w:ilvl w:val="0"/>
          <w:numId w:val="2"/>
        </w:numPr>
        <w:spacing w:after="30"/>
      </w:pPr>
      <w:r>
        <w:rPr>
          <w:rFonts w:ascii="Calibri" w:cs="Calibri" w:eastAsia="Calibri" w:hAnsi="Calibri"/>
          <w:color w:val="444444"/>
          <w:sz w:val="20"/>
          <w:szCs w:val="20"/>
        </w:rPr>
        <w:t xml:space="preserve">Led infrastructure modernization proof-of-concept in regulated environment, using Infrastructure-as-Code to centralize management of Linux and Windows servers across hybrid on-premises and cloud infrastructure. Established repeatable patterns for compliance-aware provisioning.</w:t>
      </w:r>
    </w:p>
    <w:p>
      <w:pPr>
        <w:pStyle w:val="ListParagraph"/>
        <w:numPr>
          <w:ilvl w:val="0"/>
          <w:numId w:val="2"/>
        </w:numPr>
        <w:spacing w:after="30"/>
      </w:pPr>
      <w:r>
        <w:rPr>
          <w:rFonts w:ascii="Calibri" w:cs="Calibri" w:eastAsia="Calibri" w:hAnsi="Calibri"/>
          <w:color w:val="444444"/>
          <w:sz w:val="20"/>
          <w:szCs w:val="20"/>
        </w:rPr>
        <w:t xml:space="preserve">Architected and automated configuration lifecycle management for RHEL-based systems using Ansible, establishing the organizational standard for auditable, repeatable infrastructure provisioning in compliance-sensitive context.</w:t>
      </w:r>
    </w:p>
    <w:p>
      <w:pPr>
        <w:pStyle w:val="ListParagraph"/>
        <w:numPr>
          <w:ilvl w:val="0"/>
          <w:numId w:val="2"/>
        </w:numPr>
        <w:spacing w:after="30"/>
      </w:pPr>
      <w:r>
        <w:rPr>
          <w:rFonts w:ascii="Calibri" w:cs="Calibri" w:eastAsia="Calibri" w:hAnsi="Calibri"/>
          <w:color w:val="444444"/>
          <w:sz w:val="20"/>
          <w:szCs w:val="20"/>
        </w:rPr>
        <w:t xml:space="preserve">Designed and executed petabyte-scale health data migration strategy to AWS, ensuring data integrity, regulatory compliance, and operational continuity throughout transition. Managed complexity of healthcare data governance across infrastructure boundaries.</w:t>
      </w:r>
    </w:p>
    <w:p>
      <w:pPr>
        <w:tabs>
          <w:tab w:val="right" w:pos="10080"/>
        </w:tabs>
        <w:spacing w:after="20" w:before="120"/>
      </w:pPr>
      <w:r>
        <w:rPr>
          <w:rFonts w:ascii="Calibri" w:cs="Calibri" w:eastAsia="Calibri" w:hAnsi="Calibri"/>
          <w:b/>
          <w:bCs/>
          <w:color w:val="000000"/>
          <w:sz w:val="21"/>
          <w:szCs w:val="21"/>
        </w:rPr>
        <w:t xml:space="preserve">Yale University</w:t>
      </w:r>
      <w:r>
        <w:rPr>
          <w:rFonts w:ascii="Calibri" w:cs="Calibri" w:eastAsia="Calibri" w:hAnsi="Calibri"/>
          <w:color w:val="444444"/>
          <w:sz w:val="21"/>
          <w:szCs w:val="21"/>
        </w:rPr>
        <w:t xml:space="preserve">  |  Linux Systems Engineer</w:t>
      </w:r>
      <w:r>
        <w:rPr>
          <w:rFonts w:ascii="Calibri" w:cs="Calibri" w:eastAsia="Calibri" w:hAnsi="Calibri"/>
          <w:i/>
          <w:iCs/>
          <w:color w:val="444444"/>
          <w:sz w:val="20"/>
          <w:szCs w:val="20"/>
        </w:rPr>
        <w:t xml:space="preserve">	February 2019 – August 2020</w:t>
      </w:r>
    </w:p>
    <w:p>
      <w:pPr>
        <w:pStyle w:val="ListParagraph"/>
        <w:numPr>
          <w:ilvl w:val="0"/>
          <w:numId w:val="2"/>
        </w:numPr>
        <w:spacing w:after="30"/>
      </w:pPr>
      <w:r>
        <w:rPr>
          <w:rFonts w:ascii="Calibri" w:cs="Calibri" w:eastAsia="Calibri" w:hAnsi="Calibri"/>
          <w:color w:val="444444"/>
          <w:sz w:val="20"/>
          <w:szCs w:val="20"/>
        </w:rPr>
        <w:t xml:space="preserve">Deployed and operated containerized application infrastructure using Docker Swarm and Jenkins CI/CD pipelines, establishing deployment velocity and consistency as organizational standards.</w:t>
      </w:r>
    </w:p>
    <w:p>
      <w:pPr>
        <w:pStyle w:val="ListParagraph"/>
        <w:numPr>
          <w:ilvl w:val="0"/>
          <w:numId w:val="2"/>
        </w:numPr>
        <w:spacing w:after="30"/>
      </w:pPr>
      <w:r>
        <w:rPr>
          <w:rFonts w:ascii="Calibri" w:cs="Calibri" w:eastAsia="Calibri" w:hAnsi="Calibri"/>
          <w:color w:val="444444"/>
          <w:sz w:val="20"/>
          <w:szCs w:val="20"/>
        </w:rPr>
        <w:t xml:space="preserve">Architected and managed Linux server infrastructure spanning on-premises and Azure environments, leveraging VMware vSphere and NetApp for availability, storage provisioning, and capacity planning across hybrid footprint.</w:t>
      </w:r>
    </w:p>
    <w:p>
      <w:pPr>
        <w:tabs>
          <w:tab w:val="right" w:pos="10080"/>
        </w:tabs>
        <w:spacing w:after="20" w:before="120"/>
      </w:pPr>
      <w:r>
        <w:rPr>
          <w:rFonts w:ascii="Calibri" w:cs="Calibri" w:eastAsia="Calibri" w:hAnsi="Calibri"/>
          <w:b/>
          <w:bCs/>
          <w:color w:val="000000"/>
          <w:sz w:val="21"/>
          <w:szCs w:val="21"/>
        </w:rPr>
        <w:t xml:space="preserve">Device42</w:t>
      </w:r>
      <w:r>
        <w:rPr>
          <w:rFonts w:ascii="Calibri" w:cs="Calibri" w:eastAsia="Calibri" w:hAnsi="Calibri"/>
          <w:color w:val="444444"/>
          <w:sz w:val="21"/>
          <w:szCs w:val="21"/>
        </w:rPr>
        <w:t xml:space="preserve">  |  Channel Sales Partner Manager – CMDB</w:t>
      </w:r>
      <w:r>
        <w:rPr>
          <w:rFonts w:ascii="Calibri" w:cs="Calibri" w:eastAsia="Calibri" w:hAnsi="Calibri"/>
          <w:i/>
          <w:iCs/>
          <w:color w:val="444444"/>
          <w:sz w:val="20"/>
          <w:szCs w:val="20"/>
        </w:rPr>
        <w:t xml:space="preserve">	August 2017 – June 2019</w:t>
      </w:r>
    </w:p>
    <w:p>
      <w:pPr>
        <w:pStyle w:val="ListParagraph"/>
        <w:numPr>
          <w:ilvl w:val="0"/>
          <w:numId w:val="2"/>
        </w:numPr>
        <w:spacing w:after="30"/>
      </w:pPr>
      <w:r>
        <w:rPr>
          <w:rFonts w:ascii="Calibri" w:cs="Calibri" w:eastAsia="Calibri" w:hAnsi="Calibri"/>
          <w:color w:val="444444"/>
          <w:sz w:val="20"/>
          <w:szCs w:val="20"/>
        </w:rPr>
        <w:t xml:space="preserve">Led cross-regional sales engineering teams delivering CMDB platform implementations across EMEA and APAC. Shaped customer adoption patterns and platform integration strategies, driving successful go-live and long-term customer outcomes.</w:t>
      </w:r>
    </w:p>
    <w:p>
      <w:pPr>
        <w:pBdr>
          <w:bottom w:val="single" w:color="1F3864" w:sz="6" w:space="2"/>
        </w:pBdr>
        <w:spacing w:after="60" w:before="160"/>
      </w:pPr>
      <w:r>
        <w:rPr>
          <w:rFonts w:ascii="Calibri" w:cs="Calibri" w:eastAsia="Calibri" w:hAnsi="Calibri"/>
          <w:b/>
          <w:bCs/>
          <w:caps/>
          <w:color w:val="1F3864"/>
          <w:sz w:val="22"/>
          <w:szCs w:val="22"/>
        </w:rPr>
        <w:t xml:space="preserve">Certifications</w:t>
      </w:r>
    </w:p>
    <w:p>
      <w:pPr>
        <w:pStyle w:val="ListParagraph"/>
        <w:numPr>
          <w:ilvl w:val="0"/>
          <w:numId w:val="2"/>
        </w:numPr>
        <w:spacing w:after="30"/>
      </w:pPr>
      <w:r>
        <w:rPr>
          <w:rFonts w:ascii="Calibri" w:cs="Calibri" w:eastAsia="Calibri" w:hAnsi="Calibri"/>
          <w:color w:val="444444"/>
          <w:sz w:val="20"/>
          <w:szCs w:val="20"/>
        </w:rPr>
        <w:t xml:space="preserve">CNCF — Certified GitOps Associate (CGOA)</w:t>
      </w:r>
    </w:p>
    <w:p>
      <w:pPr>
        <w:pStyle w:val="ListParagraph"/>
        <w:numPr>
          <w:ilvl w:val="0"/>
          <w:numId w:val="2"/>
        </w:numPr>
        <w:spacing w:after="30"/>
      </w:pPr>
      <w:r>
        <w:rPr>
          <w:rFonts w:ascii="Calibri" w:cs="Calibri" w:eastAsia="Calibri" w:hAnsi="Calibri"/>
          <w:color w:val="444444"/>
          <w:sz w:val="20"/>
          <w:szCs w:val="20"/>
        </w:rPr>
        <w:t xml:space="preserve">Linux Foundation — Certified Kubernetes &amp; Cloud Native Associate (KCNA)</w:t>
      </w:r>
    </w:p>
    <w:p>
      <w:pPr>
        <w:pStyle w:val="ListParagraph"/>
        <w:numPr>
          <w:ilvl w:val="0"/>
          <w:numId w:val="2"/>
        </w:numPr>
        <w:spacing w:after="30"/>
      </w:pPr>
      <w:r>
        <w:rPr>
          <w:rFonts w:ascii="Calibri" w:cs="Calibri" w:eastAsia="Calibri" w:hAnsi="Calibri"/>
          <w:color w:val="444444"/>
          <w:sz w:val="20"/>
          <w:szCs w:val="20"/>
        </w:rPr>
        <w:t xml:space="preserve">Google Cloud Platform — Certified Professional Cloud Architect</w:t>
      </w:r>
    </w:p>
    <w:p>
      <w:pPr>
        <w:pStyle w:val="ListParagraph"/>
        <w:numPr>
          <w:ilvl w:val="0"/>
          <w:numId w:val="2"/>
        </w:numPr>
        <w:spacing w:after="30"/>
      </w:pPr>
      <w:r>
        <w:rPr>
          <w:rFonts w:ascii="Calibri" w:cs="Calibri" w:eastAsia="Calibri" w:hAnsi="Calibri"/>
          <w:color w:val="444444"/>
          <w:sz w:val="20"/>
          <w:szCs w:val="20"/>
        </w:rPr>
        <w:t xml:space="preserve">Amazon Web Services — Certified Solutions Architect – Associate</w:t>
      </w:r>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2026-07-22T22:43:27.917Z</dcterms:created>
  <dcterms:modified xsi:type="dcterms:W3CDTF">2026-07-22T22:43:27.932Z</dcterms:modified>
</cp:coreProperties>
</file>

<file path=docProps/custom.xml><?xml version="1.0" encoding="utf-8"?>
<Properties xmlns="http://schemas.openxmlformats.org/officeDocument/2006/custom-properties" xmlns:vt="http://schemas.openxmlformats.org/officeDocument/2006/docPropsVTypes"/>
</file>