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A07C" w14:textId="77777777" w:rsidR="00E022F2" w:rsidRDefault="00E022F2" w:rsidP="00BD11D1">
      <w:pPr>
        <w:spacing w:line="360" w:lineRule="auto"/>
        <w:jc w:val="center"/>
        <w:rPr>
          <w:rFonts w:ascii="Times New Roman" w:hAnsi="Times New Roman" w:cs="Times New Roman"/>
          <w:b/>
          <w:bCs/>
          <w:sz w:val="28"/>
          <w:szCs w:val="28"/>
        </w:rPr>
      </w:pPr>
    </w:p>
    <w:p w14:paraId="072ACC79" w14:textId="77777777" w:rsidR="00E022F2" w:rsidRDefault="00E022F2" w:rsidP="00BD11D1">
      <w:pPr>
        <w:spacing w:line="360" w:lineRule="auto"/>
        <w:jc w:val="center"/>
        <w:rPr>
          <w:rFonts w:ascii="Times New Roman" w:hAnsi="Times New Roman" w:cs="Times New Roman"/>
          <w:b/>
          <w:bCs/>
          <w:sz w:val="28"/>
          <w:szCs w:val="28"/>
        </w:rPr>
      </w:pPr>
    </w:p>
    <w:p w14:paraId="753F0B57" w14:textId="77777777" w:rsidR="00E022F2" w:rsidRDefault="00E022F2" w:rsidP="00BD11D1">
      <w:pPr>
        <w:spacing w:line="360" w:lineRule="auto"/>
        <w:jc w:val="center"/>
        <w:rPr>
          <w:rFonts w:ascii="Times New Roman" w:hAnsi="Times New Roman" w:cs="Times New Roman"/>
          <w:b/>
          <w:bCs/>
          <w:sz w:val="28"/>
          <w:szCs w:val="28"/>
        </w:rPr>
      </w:pPr>
    </w:p>
    <w:p w14:paraId="1D2E9AA0" w14:textId="77777777" w:rsidR="00E022F2" w:rsidRDefault="00E022F2" w:rsidP="00BD11D1">
      <w:pPr>
        <w:spacing w:line="360" w:lineRule="auto"/>
        <w:jc w:val="center"/>
        <w:rPr>
          <w:rFonts w:ascii="Times New Roman" w:hAnsi="Times New Roman" w:cs="Times New Roman"/>
          <w:b/>
          <w:bCs/>
          <w:sz w:val="28"/>
          <w:szCs w:val="28"/>
        </w:rPr>
      </w:pPr>
    </w:p>
    <w:p w14:paraId="21567E25" w14:textId="77777777" w:rsidR="00E022F2" w:rsidRDefault="00E022F2" w:rsidP="00BD11D1">
      <w:pPr>
        <w:spacing w:line="360" w:lineRule="auto"/>
        <w:jc w:val="center"/>
        <w:rPr>
          <w:rFonts w:ascii="Times New Roman" w:hAnsi="Times New Roman" w:cs="Times New Roman"/>
          <w:b/>
          <w:bCs/>
          <w:sz w:val="28"/>
          <w:szCs w:val="28"/>
        </w:rPr>
      </w:pPr>
    </w:p>
    <w:p w14:paraId="2781FA00" w14:textId="77777777" w:rsidR="00E022F2" w:rsidRDefault="00E022F2" w:rsidP="00C626F8">
      <w:pPr>
        <w:spacing w:line="360" w:lineRule="auto"/>
        <w:rPr>
          <w:rFonts w:ascii="Times New Roman" w:hAnsi="Times New Roman" w:cs="Times New Roman"/>
          <w:b/>
          <w:bCs/>
          <w:sz w:val="28"/>
          <w:szCs w:val="28"/>
        </w:rPr>
      </w:pPr>
    </w:p>
    <w:p w14:paraId="122013A6" w14:textId="77777777" w:rsidR="00C626F8" w:rsidRDefault="00C626F8" w:rsidP="00C626F8">
      <w:pPr>
        <w:spacing w:line="360" w:lineRule="auto"/>
        <w:rPr>
          <w:rFonts w:ascii="Times New Roman" w:hAnsi="Times New Roman" w:cs="Times New Roman"/>
          <w:b/>
          <w:bCs/>
          <w:sz w:val="28"/>
          <w:szCs w:val="28"/>
        </w:rPr>
      </w:pPr>
    </w:p>
    <w:p w14:paraId="52BC61AE" w14:textId="77777777" w:rsidR="00E022F2" w:rsidRDefault="00E022F2" w:rsidP="00BD11D1">
      <w:pPr>
        <w:spacing w:line="360" w:lineRule="auto"/>
        <w:jc w:val="center"/>
        <w:rPr>
          <w:rFonts w:ascii="Times New Roman" w:hAnsi="Times New Roman" w:cs="Times New Roman"/>
          <w:b/>
          <w:bCs/>
          <w:sz w:val="28"/>
          <w:szCs w:val="28"/>
        </w:rPr>
      </w:pPr>
    </w:p>
    <w:p w14:paraId="45DA5213" w14:textId="40608ADF" w:rsidR="000D553F" w:rsidRDefault="000D553F"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Kaylan Wallace</w:t>
      </w:r>
    </w:p>
    <w:p w14:paraId="626E2B1C" w14:textId="77777777"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POLI 381</w:t>
      </w:r>
    </w:p>
    <w:p w14:paraId="4BDD95DB" w14:textId="2FE36B4C"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Data Project: </w:t>
      </w:r>
      <w:r w:rsidR="00A61C54">
        <w:rPr>
          <w:rFonts w:ascii="Times New Roman" w:hAnsi="Times New Roman" w:cs="Times New Roman"/>
          <w:b/>
          <w:bCs/>
          <w:sz w:val="28"/>
          <w:szCs w:val="28"/>
        </w:rPr>
        <w:t>Correlation</w:t>
      </w:r>
    </w:p>
    <w:p w14:paraId="15570D89" w14:textId="0EA0DA26" w:rsidR="00BD11D1" w:rsidRPr="00BD11D1" w:rsidRDefault="00BD11D1" w:rsidP="006B0FEB">
      <w:pPr>
        <w:spacing w:line="480" w:lineRule="auto"/>
        <w:jc w:val="center"/>
        <w:rPr>
          <w:rFonts w:ascii="Times New Roman" w:hAnsi="Times New Roman" w:cs="Times New Roman"/>
          <w:b/>
          <w:bCs/>
          <w:sz w:val="28"/>
          <w:szCs w:val="28"/>
        </w:rPr>
      </w:pPr>
      <w:r w:rsidRPr="00BD11D1">
        <w:rPr>
          <w:rFonts w:ascii="Times New Roman" w:hAnsi="Times New Roman" w:cs="Times New Roman"/>
          <w:b/>
          <w:bCs/>
          <w:sz w:val="28"/>
          <w:szCs w:val="28"/>
        </w:rPr>
        <w:t>Are elections becoming more competitive or less competitive?</w:t>
      </w:r>
    </w:p>
    <w:p w14:paraId="20F013D8" w14:textId="77777777" w:rsidR="00BD11D1" w:rsidRDefault="00BD11D1" w:rsidP="00BD11D1">
      <w:pPr>
        <w:spacing w:line="360" w:lineRule="auto"/>
        <w:jc w:val="both"/>
        <w:rPr>
          <w:rFonts w:ascii="Times New Roman" w:hAnsi="Times New Roman" w:cs="Times New Roman"/>
        </w:rPr>
      </w:pPr>
    </w:p>
    <w:p w14:paraId="1B67538C" w14:textId="77777777" w:rsidR="00841BDC" w:rsidRDefault="00841BDC">
      <w:pPr>
        <w:rPr>
          <w:rFonts w:ascii="Times New Roman" w:hAnsi="Times New Roman" w:cs="Times New Roman"/>
          <w:b/>
          <w:bCs/>
        </w:rPr>
      </w:pPr>
      <w:r>
        <w:rPr>
          <w:rFonts w:ascii="Times New Roman" w:hAnsi="Times New Roman" w:cs="Times New Roman"/>
          <w:b/>
          <w:bCs/>
        </w:rPr>
        <w:br w:type="page"/>
      </w:r>
    </w:p>
    <w:p w14:paraId="75E90E77" w14:textId="2F48005A" w:rsidR="00B60ECA" w:rsidRPr="00B60ECA" w:rsidRDefault="00E15751" w:rsidP="00376DB2">
      <w:pPr>
        <w:spacing w:line="360" w:lineRule="auto"/>
        <w:jc w:val="both"/>
        <w:rPr>
          <w:rFonts w:ascii="Times New Roman" w:hAnsi="Times New Roman" w:cs="Times New Roman"/>
          <w:b/>
          <w:bCs/>
        </w:rPr>
      </w:pPr>
      <w:r w:rsidRPr="00E15751">
        <w:rPr>
          <w:rFonts w:ascii="Times New Roman" w:hAnsi="Times New Roman" w:cs="Times New Roman"/>
          <w:b/>
          <w:bCs/>
        </w:rPr>
        <w:lastRenderedPageBreak/>
        <w:t>The Independent Variable X (Theoretical Conjecture)</w:t>
      </w:r>
      <w:r>
        <w:rPr>
          <w:rFonts w:ascii="Times New Roman" w:hAnsi="Times New Roman" w:cs="Times New Roman"/>
          <w:b/>
          <w:bCs/>
        </w:rPr>
        <w:t xml:space="preserve"> </w:t>
      </w:r>
    </w:p>
    <w:p w14:paraId="2A7FFD9D" w14:textId="64D83DC3" w:rsidR="00E15751" w:rsidRPr="00E15751" w:rsidRDefault="00E15751" w:rsidP="006F2AF5">
      <w:pPr>
        <w:spacing w:line="276" w:lineRule="auto"/>
        <w:ind w:firstLine="720"/>
        <w:jc w:val="both"/>
        <w:rPr>
          <w:rFonts w:ascii="Times New Roman" w:hAnsi="Times New Roman" w:cs="Times New Roman"/>
        </w:rPr>
      </w:pPr>
      <w:r w:rsidRPr="00E15751">
        <w:rPr>
          <w:rFonts w:ascii="Times New Roman" w:hAnsi="Times New Roman" w:cs="Times New Roman"/>
        </w:rPr>
        <w:t>In the US, electoral turnout is often theorized to be positively related to electoral competitiveness for several reasons. In highly competitive elections where the outcome is uncertain, political parties and candidates are motivated to mobilize their supporters and increase voter turnout to secure victory. This can lead to greater efforts in voter registration and canvassing. These activities tend to generate more media attention, public discourse, and political debates, which may increase voter engagement and motivation to participate in the electoral process. In closely contested races especially, individuals may perceive their votes as having a greater impact on the outcome.</w:t>
      </w:r>
    </w:p>
    <w:p w14:paraId="0B314B14" w14:textId="77777777" w:rsidR="00E15751" w:rsidRPr="00E15751" w:rsidRDefault="00E15751" w:rsidP="006F2AF5">
      <w:pPr>
        <w:spacing w:line="276" w:lineRule="auto"/>
        <w:ind w:firstLine="720"/>
        <w:jc w:val="both"/>
        <w:rPr>
          <w:rFonts w:ascii="Times New Roman" w:hAnsi="Times New Roman" w:cs="Times New Roman"/>
        </w:rPr>
      </w:pPr>
      <w:r w:rsidRPr="00E15751">
        <w:rPr>
          <w:rFonts w:ascii="Times New Roman" w:hAnsi="Times New Roman" w:cs="Times New Roman"/>
        </w:rPr>
        <w:t xml:space="preserve">However, it's important to consider alternative hypotheses and potential pitfalls. While there may be a correlation between electoral competitiveness and turnout, it's essential to recognize that correlation does not imply causation. Other unobserved factors, such as demographic characteristics, political culture, or historical trends, could drive both variables independently. In such case, these variables are both driven by something in the model that is not accounted for (endogeneity). We can also consider a non-linear relationship between electoral competitiveness and turnout. For example, increased competitiveness may initially lead to higher turnout rates, but beyond a certain threshold, further increases in competitiveness may have diminishing returns on turnout as voters may feel overwhelmed or disengaged by highly contentious campaigns. This can take place within the same electoral season, or may even happen over the course of years, which indicates the potential for both variables to have a temporal lag effect on each other.  </w:t>
      </w:r>
    </w:p>
    <w:p w14:paraId="65988BFF" w14:textId="77777777" w:rsidR="00E15751" w:rsidRPr="00E15751" w:rsidRDefault="00E15751" w:rsidP="00E15751">
      <w:pPr>
        <w:jc w:val="both"/>
        <w:rPr>
          <w:rFonts w:ascii="Times New Roman" w:hAnsi="Times New Roman" w:cs="Times New Roman"/>
        </w:rPr>
      </w:pPr>
    </w:p>
    <w:p w14:paraId="283FB04C" w14:textId="167DEED1" w:rsidR="00E15751" w:rsidRPr="00E15751" w:rsidRDefault="00E15751" w:rsidP="00E15751">
      <w:pPr>
        <w:jc w:val="both"/>
        <w:rPr>
          <w:rFonts w:ascii="Times New Roman" w:hAnsi="Times New Roman" w:cs="Times New Roman"/>
          <w:b/>
          <w:bCs/>
        </w:rPr>
      </w:pPr>
      <w:r w:rsidRPr="00E15751">
        <w:rPr>
          <w:rFonts w:ascii="Times New Roman" w:hAnsi="Times New Roman" w:cs="Times New Roman"/>
          <w:b/>
          <w:bCs/>
        </w:rPr>
        <w:t>Operationalization of X</w:t>
      </w:r>
    </w:p>
    <w:p w14:paraId="772871C5" w14:textId="1FD0E080" w:rsidR="00E15751" w:rsidRPr="00E15751" w:rsidRDefault="00E15751" w:rsidP="006F2AF5">
      <w:pPr>
        <w:spacing w:line="276" w:lineRule="auto"/>
        <w:ind w:firstLine="720"/>
        <w:jc w:val="both"/>
        <w:rPr>
          <w:rFonts w:ascii="Times New Roman" w:hAnsi="Times New Roman" w:cs="Times New Roman"/>
        </w:rPr>
      </w:pPr>
      <w:r w:rsidRPr="00E15751">
        <w:rPr>
          <w:rFonts w:ascii="Times New Roman" w:hAnsi="Times New Roman" w:cs="Times New Roman"/>
        </w:rPr>
        <w:t xml:space="preserve">This project will explore the correlation between electoral competitiveness and turnout. The data for electoral turnout was sourced from University of Florida's Election Lab (McDonald), which defines electoral turnout as the proportion of the voting eligible population (VEP) that actually votes in an election. They further define VEP as an estimate of those eligible to vote in an election, calculated by the voting-age population minus ineligible non-citizens and felons (McDonald). As there is no national central agency that provides electoral statistics, a University publication was one of the next best credible sources to turn to. This dataset contains turnout rates for both presidential and midterm elections from 1789 - 2020. To measure electoral turnout from this data, only data for presidential election turnouts will be used, as the polling average data is also limited to presidential elections. Additionally, only data from 1972-2016 will be used, as this is the time span measured in the polling average data. </w:t>
      </w:r>
    </w:p>
    <w:p w14:paraId="47C0E8D5" w14:textId="531C4747" w:rsidR="00490D6F" w:rsidRDefault="00E15751" w:rsidP="00082893">
      <w:pPr>
        <w:spacing w:line="276" w:lineRule="auto"/>
        <w:ind w:firstLine="720"/>
        <w:jc w:val="both"/>
        <w:rPr>
          <w:rFonts w:ascii="Times New Roman" w:hAnsi="Times New Roman" w:cs="Times New Roman"/>
        </w:rPr>
      </w:pPr>
      <w:r w:rsidRPr="00E15751">
        <w:rPr>
          <w:rFonts w:ascii="Times New Roman" w:hAnsi="Times New Roman" w:cs="Times New Roman"/>
        </w:rPr>
        <w:t>One shortfall of this operationalization of electoral turnout is that the data are national aggregates, not data for each state. There was no information found on how each state's turnout contributed to the national turnout average. This may undermine the procedure taken in operationalizing electoral competitiveness to account for the differences in population and assigned electoral votes related to each state. For electoral competitiveness, daily candidate poll ratings per state were aggregated from April 9th to election day, as this was the earliest data collection date all election years had in common. The states were then grouped into 9 geographic divisions based on Census Regions</w:t>
      </w:r>
      <w:r w:rsidR="002B0AF4">
        <w:rPr>
          <w:rFonts w:ascii="Times New Roman" w:hAnsi="Times New Roman" w:cs="Times New Roman"/>
        </w:rPr>
        <w:t xml:space="preserve"> (Bureau)</w:t>
      </w:r>
      <w:r w:rsidRPr="00E15751">
        <w:rPr>
          <w:rFonts w:ascii="Times New Roman" w:hAnsi="Times New Roman" w:cs="Times New Roman"/>
        </w:rPr>
        <w:t>, and each region was given a weighting based on the number of electoral votes of all its comprising states</w:t>
      </w:r>
      <w:r w:rsidR="002B0AF4">
        <w:rPr>
          <w:rFonts w:ascii="Times New Roman" w:hAnsi="Times New Roman" w:cs="Times New Roman"/>
        </w:rPr>
        <w:t xml:space="preserve"> </w:t>
      </w:r>
      <w:r w:rsidR="002B0AF4" w:rsidRPr="002B0AF4">
        <w:rPr>
          <w:rFonts w:ascii="Times New Roman" w:hAnsi="Times New Roman" w:cs="Times New Roman"/>
        </w:rPr>
        <w:t>(National Archives)</w:t>
      </w:r>
      <w:r w:rsidRPr="00E15751">
        <w:rPr>
          <w:rFonts w:ascii="Times New Roman" w:hAnsi="Times New Roman" w:cs="Times New Roman"/>
        </w:rPr>
        <w:t>. National polling ratings per election were calculated as weighted averages of divisional ratings, and the standard deviation of these ratings served as a measure of election competitiveness.</w:t>
      </w:r>
    </w:p>
    <w:p w14:paraId="15D34052" w14:textId="532F8FC2" w:rsidR="00F459E7" w:rsidRPr="00D078AF" w:rsidRDefault="00B138B2" w:rsidP="00D078AF">
      <w:pPr>
        <w:jc w:val="both"/>
        <w:rPr>
          <w:rFonts w:ascii="Times New Roman" w:hAnsi="Times New Roman" w:cs="Times New Roman"/>
          <w:b/>
          <w:bCs/>
        </w:rPr>
      </w:pPr>
      <w:r>
        <w:rPr>
          <w:rFonts w:ascii="Times New Roman" w:hAnsi="Times New Roman" w:cs="Times New Roman"/>
          <w:b/>
          <w:bCs/>
        </w:rPr>
        <w:lastRenderedPageBreak/>
        <w:t>Quality Control</w:t>
      </w:r>
    </w:p>
    <w:p w14:paraId="1A03C1D7" w14:textId="3BB00ECD" w:rsidR="00AD20E4" w:rsidRDefault="00AD20E4" w:rsidP="000E471D">
      <w:pPr>
        <w:spacing w:line="276" w:lineRule="auto"/>
        <w:ind w:firstLine="720"/>
        <w:jc w:val="both"/>
        <w:rPr>
          <w:rFonts w:ascii="Times New Roman" w:hAnsi="Times New Roman" w:cs="Times New Roman"/>
        </w:rPr>
      </w:pPr>
    </w:p>
    <w:p w14:paraId="338AB7A1" w14:textId="16D3F402" w:rsidR="000E471D" w:rsidRDefault="00E033C7" w:rsidP="000E471D">
      <w:pPr>
        <w:spacing w:line="276" w:lineRule="auto"/>
        <w:ind w:firstLine="720"/>
        <w:jc w:val="both"/>
        <w:rPr>
          <w:rFonts w:ascii="Times New Roman" w:hAnsi="Times New Roman" w:cs="Times New Roman"/>
        </w:rPr>
      </w:pPr>
      <w:r>
        <w:rPr>
          <w:rFonts w:ascii="Times New Roman" w:hAnsi="Times New Roman" w:cs="Times New Roman"/>
        </w:rPr>
        <w:t xml:space="preserve">The theoretical range of values for </w:t>
      </w:r>
      <w:r w:rsidR="00C56584">
        <w:rPr>
          <w:rFonts w:ascii="Times New Roman" w:hAnsi="Times New Roman" w:cs="Times New Roman"/>
        </w:rPr>
        <w:t>electoral turnout</w:t>
      </w:r>
      <w:r>
        <w:rPr>
          <w:rFonts w:ascii="Times New Roman" w:hAnsi="Times New Roman" w:cs="Times New Roman"/>
          <w:lang w:val="en-GB"/>
        </w:rPr>
        <w:t xml:space="preserve"> is 0 to 1, as it is a </w:t>
      </w:r>
      <w:r w:rsidR="00111DA4">
        <w:rPr>
          <w:rFonts w:ascii="Times New Roman" w:hAnsi="Times New Roman" w:cs="Times New Roman"/>
          <w:lang w:val="en-GB"/>
        </w:rPr>
        <w:t>proportion represented in decimals</w:t>
      </w:r>
      <w:r>
        <w:rPr>
          <w:rFonts w:ascii="Times New Roman" w:hAnsi="Times New Roman" w:cs="Times New Roman"/>
          <w:lang w:val="en-GB"/>
        </w:rPr>
        <w:t xml:space="preserve">. </w:t>
      </w:r>
      <w:r w:rsidR="000F6EC8">
        <w:rPr>
          <w:rFonts w:ascii="Times New Roman" w:hAnsi="Times New Roman" w:cs="Times New Roman"/>
          <w:lang w:val="en-GB"/>
        </w:rPr>
        <w:t>All the data is within the range 0.51 – 0.62, which is not surprising given that the US is known to have a lower voter turnout than many democracies (</w:t>
      </w:r>
      <w:proofErr w:type="spellStart"/>
      <w:r w:rsidR="000F6EC8" w:rsidRPr="000F6EC8">
        <w:rPr>
          <w:rFonts w:ascii="Times New Roman" w:hAnsi="Times New Roman" w:cs="Times New Roman"/>
        </w:rPr>
        <w:t>FairVote</w:t>
      </w:r>
      <w:proofErr w:type="spellEnd"/>
      <w:r w:rsidR="000F6EC8">
        <w:rPr>
          <w:rFonts w:ascii="Times New Roman" w:hAnsi="Times New Roman" w:cs="Times New Roman"/>
        </w:rPr>
        <w:t>)</w:t>
      </w:r>
      <w:r w:rsidR="000F6EC8">
        <w:rPr>
          <w:rFonts w:ascii="Times New Roman" w:hAnsi="Times New Roman" w:cs="Times New Roman"/>
          <w:lang w:val="en-GB"/>
        </w:rPr>
        <w:t xml:space="preserve">. </w:t>
      </w:r>
      <w:r w:rsidR="007550C1">
        <w:rPr>
          <w:rFonts w:ascii="Times New Roman" w:hAnsi="Times New Roman" w:cs="Times New Roman"/>
          <w:b/>
          <w:bCs/>
          <w:lang w:val="en-GB"/>
        </w:rPr>
        <w:t>Figure 1</w:t>
      </w:r>
      <w:r w:rsidR="00111DA4">
        <w:rPr>
          <w:rFonts w:ascii="Times New Roman" w:hAnsi="Times New Roman" w:cs="Times New Roman"/>
          <w:b/>
          <w:bCs/>
          <w:lang w:val="en-GB"/>
        </w:rPr>
        <w:t xml:space="preserve"> </w:t>
      </w:r>
      <w:r w:rsidR="00111DA4">
        <w:rPr>
          <w:rFonts w:ascii="Times New Roman" w:hAnsi="Times New Roman" w:cs="Times New Roman"/>
          <w:lang w:val="en-GB"/>
        </w:rPr>
        <w:t xml:space="preserve">is a density plot, which shows </w:t>
      </w:r>
      <w:r w:rsidR="00111DA4" w:rsidRPr="00111DA4">
        <w:rPr>
          <w:rFonts w:ascii="Times New Roman" w:hAnsi="Times New Roman" w:cs="Times New Roman"/>
        </w:rPr>
        <w:t>the distribution of the data</w:t>
      </w:r>
      <w:r w:rsidR="00D47BB3">
        <w:rPr>
          <w:rFonts w:ascii="Times New Roman" w:hAnsi="Times New Roman" w:cs="Times New Roman"/>
        </w:rPr>
        <w:t xml:space="preserve"> to be bimodal</w:t>
      </w:r>
      <w:r w:rsidR="00111DA4">
        <w:rPr>
          <w:rFonts w:ascii="Times New Roman" w:hAnsi="Times New Roman" w:cs="Times New Roman"/>
        </w:rPr>
        <w:t>.</w:t>
      </w:r>
      <w:r w:rsidR="00D47BB3">
        <w:rPr>
          <w:rFonts w:ascii="Times New Roman" w:hAnsi="Times New Roman" w:cs="Times New Roman"/>
        </w:rPr>
        <w:t xml:space="preserve"> Though the absolute values of the mean and mode are very close together, in context of the actual range of values for turnout the mean is notably higher.</w:t>
      </w:r>
      <w:r w:rsidR="00111DA4">
        <w:rPr>
          <w:rFonts w:ascii="Times New Roman" w:hAnsi="Times New Roman" w:cs="Times New Roman"/>
        </w:rPr>
        <w:t xml:space="preserve"> </w:t>
      </w:r>
      <w:r w:rsidR="00C163F9">
        <w:rPr>
          <w:rFonts w:ascii="Times New Roman" w:hAnsi="Times New Roman" w:cs="Times New Roman"/>
        </w:rPr>
        <w:t>This suggests concentrations of voter turnout around 54.5% and 60%. Seeing as little methodology was given for the sources of data used to calculate turnout, this may also be indicative of measurement errors.</w:t>
      </w:r>
    </w:p>
    <w:p w14:paraId="6BEFD96D" w14:textId="672F9993" w:rsidR="00AB6DD3" w:rsidRDefault="00AB6DD3" w:rsidP="000E471D">
      <w:pPr>
        <w:spacing w:line="276" w:lineRule="auto"/>
        <w:ind w:firstLine="720"/>
        <w:jc w:val="both"/>
        <w:rPr>
          <w:rFonts w:ascii="Times New Roman" w:hAnsi="Times New Roman" w:cs="Times New Roman"/>
        </w:rPr>
      </w:pPr>
    </w:p>
    <w:p w14:paraId="505ABA1A" w14:textId="41C882E3" w:rsidR="00452978" w:rsidRDefault="00D063ED" w:rsidP="00BF49CC">
      <w:pPr>
        <w:ind w:firstLine="720"/>
        <w:jc w:val="both"/>
        <w:rPr>
          <w:rFonts w:ascii="Times New Roman" w:hAnsi="Times New Roman" w:cs="Times New Roman"/>
          <w:b/>
          <w:bCs/>
          <w:lang w:val="en-GB"/>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5214A2" wp14:editId="270A0617">
                <wp:simplePos x="0" y="0"/>
                <wp:positionH relativeFrom="margin">
                  <wp:posOffset>1567543</wp:posOffset>
                </wp:positionH>
                <wp:positionV relativeFrom="margin">
                  <wp:posOffset>7735570</wp:posOffset>
                </wp:positionV>
                <wp:extent cx="4087495" cy="666115"/>
                <wp:effectExtent l="0" t="0" r="1905" b="0"/>
                <wp:wrapSquare wrapText="bothSides"/>
                <wp:docPr id="1215844984" name="Text Box 1"/>
                <wp:cNvGraphicFramePr/>
                <a:graphic xmlns:a="http://schemas.openxmlformats.org/drawingml/2006/main">
                  <a:graphicData uri="http://schemas.microsoft.com/office/word/2010/wordprocessingShape">
                    <wps:wsp>
                      <wps:cNvSpPr txBox="1"/>
                      <wps:spPr>
                        <a:xfrm>
                          <a:off x="0" y="0"/>
                          <a:ext cx="4087495" cy="666115"/>
                        </a:xfrm>
                        <a:prstGeom prst="rect">
                          <a:avLst/>
                        </a:prstGeom>
                        <a:solidFill>
                          <a:prstClr val="white"/>
                        </a:solidFill>
                        <a:ln>
                          <a:noFill/>
                        </a:ln>
                      </wps:spPr>
                      <wps:txbx>
                        <w:txbxContent>
                          <w:p w14:paraId="57A09E60" w14:textId="5E224C5C" w:rsidR="00D063ED" w:rsidRDefault="00D063ED" w:rsidP="00D063ED">
                            <w:pPr>
                              <w:pStyle w:val="Caption"/>
                            </w:pPr>
                            <w:r>
                              <w:t xml:space="preserve">Figure </w:t>
                            </w:r>
                            <w:r>
                              <w:fldChar w:fldCharType="begin"/>
                            </w:r>
                            <w:r>
                              <w:instrText xml:space="preserve"> SEQ Figure \* ARABIC </w:instrText>
                            </w:r>
                            <w:r>
                              <w:fldChar w:fldCharType="separate"/>
                            </w:r>
                            <w:r w:rsidR="00F7323C">
                              <w:rPr>
                                <w:noProof/>
                              </w:rPr>
                              <w:t>1</w:t>
                            </w:r>
                            <w:r>
                              <w:rPr>
                                <w:noProof/>
                              </w:rPr>
                              <w:fldChar w:fldCharType="end"/>
                            </w:r>
                            <w:r>
                              <w:t>: Density Plot for Electoral Turnout</w:t>
                            </w:r>
                          </w:p>
                          <w:p w14:paraId="47E89C7F" w14:textId="77777777" w:rsidR="00D063ED" w:rsidRPr="000E471D" w:rsidRDefault="00D063ED" w:rsidP="00D063ED">
                            <w:pPr>
                              <w:spacing w:line="240" w:lineRule="auto"/>
                              <w:rPr>
                                <w:sz w:val="18"/>
                                <w:szCs w:val="18"/>
                              </w:rPr>
                            </w:pPr>
                            <w:r w:rsidRPr="000E471D">
                              <w:rPr>
                                <w:sz w:val="18"/>
                                <w:szCs w:val="18"/>
                              </w:rPr>
                              <w:t>Source: National Voting Eligible Population Turnout Rates, 1789-Present (v1.1).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45214A2" id="_x0000_t202" coordsize="21600,21600" o:spt="202" path="m,l,21600r21600,l21600,xe">
                <v:stroke joinstyle="miter"/>
                <v:path gradientshapeok="t" o:connecttype="rect"/>
              </v:shapetype>
              <v:shape id="Text Box 1" o:spid="_x0000_s1026" type="#_x0000_t202" style="position:absolute;left:0;text-align:left;margin-left:123.45pt;margin-top:609.1pt;width:321.85pt;height:52.45pt;z-index:25167564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" stroked="f">
                <v:textbox inset="0,0,0,0">
                  <w:txbxContent>
                    <w:p w14:paraId="57A09E60" w14:textId="5E224C5C" w:rsidR="00D063ED" w:rsidRDefault="00D063ED" w:rsidP="00D063ED">
                      <w:pPr>
                        <w:pStyle w:val="Caption"/>
                      </w:pPr>
                      <w:r>
                        <w:t xml:space="preserve">Figure </w:t>
                      </w:r>
                      <w:r>
                        <w:fldChar w:fldCharType="begin"/>
                      </w:r>
                      <w:r>
                        <w:instrText xml:space="preserve"> SEQ Figure \* ARABIC </w:instrText>
                      </w:r>
                      <w:r>
                        <w:fldChar w:fldCharType="separate"/>
                      </w:r>
                      <w:r w:rsidR="00F7323C">
                        <w:rPr>
                          <w:noProof/>
                        </w:rPr>
                        <w:t>1</w:t>
                      </w:r>
                      <w:r>
                        <w:rPr>
                          <w:noProof/>
                        </w:rPr>
                        <w:fldChar w:fldCharType="end"/>
                      </w:r>
                      <w:r>
                        <w:t>: Density Plot for Electoral Turnout</w:t>
                      </w:r>
                    </w:p>
                    <w:p w14:paraId="47E89C7F" w14:textId="77777777" w:rsidR="00D063ED" w:rsidRPr="000E471D" w:rsidRDefault="00D063ED" w:rsidP="00D063ED">
                      <w:pPr>
                        <w:spacing w:line="240" w:lineRule="auto"/>
                        <w:rPr>
                          <w:sz w:val="18"/>
                          <w:szCs w:val="18"/>
                        </w:rPr>
                      </w:pPr>
                      <w:r w:rsidRPr="000E471D">
                        <w:rPr>
                          <w:sz w:val="18"/>
                          <w:szCs w:val="18"/>
                        </w:rPr>
                        <w:t>Source: National Voting Eligible Population Turnout Rates, 1789-Present (v1.1).</w:t>
                      </w:r>
                    </w:p>
                  </w:txbxContent>
                </v:textbox>
                <w10:wrap type="square" anchorx="margin" anchory="margin"/>
              </v:shape>
            </w:pict>
          </mc:Fallback>
        </mc:AlternateContent>
      </w:r>
      <w:r w:rsidR="00452978">
        <w:rPr>
          <w:rFonts w:ascii="Times New Roman" w:hAnsi="Times New Roman" w:cs="Times New Roman"/>
          <w:b/>
          <w:bCs/>
          <w:noProof/>
        </w:rPr>
        <w:drawing>
          <wp:inline distT="0" distB="0" distL="0" distR="0" wp14:anchorId="6683242F" wp14:editId="43C0D462">
            <wp:extent cx="5986800" cy="5180615"/>
            <wp:effectExtent l="0" t="0" r="0" b="1270"/>
            <wp:docPr id="1074674145" name="Picture 3" descr="A graph of a distribution of tunturous cur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74145" name="Picture 3" descr="A graph of a distribution of tunturous curves&#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6800" cy="5180615"/>
                    </a:xfrm>
                    <a:prstGeom prst="rect">
                      <a:avLst/>
                    </a:prstGeom>
                  </pic:spPr>
                </pic:pic>
              </a:graphicData>
            </a:graphic>
          </wp:inline>
        </w:drawing>
      </w:r>
    </w:p>
    <w:p w14:paraId="4884C79E" w14:textId="04243FAE" w:rsidR="00452978" w:rsidRDefault="00452978" w:rsidP="00BF49CC">
      <w:pPr>
        <w:ind w:firstLine="720"/>
        <w:jc w:val="both"/>
        <w:rPr>
          <w:rFonts w:ascii="Times New Roman" w:hAnsi="Times New Roman" w:cs="Times New Roman"/>
          <w:b/>
          <w:bCs/>
          <w:lang w:val="en-GB"/>
        </w:rPr>
      </w:pPr>
    </w:p>
    <w:p w14:paraId="543CB812" w14:textId="6C724F2A" w:rsidR="00452978" w:rsidRDefault="00452978" w:rsidP="00BF49CC">
      <w:pPr>
        <w:ind w:firstLine="720"/>
        <w:jc w:val="both"/>
        <w:rPr>
          <w:rFonts w:ascii="Times New Roman" w:hAnsi="Times New Roman" w:cs="Times New Roman"/>
          <w:b/>
          <w:bCs/>
          <w:lang w:val="en-GB"/>
        </w:rPr>
      </w:pPr>
    </w:p>
    <w:p w14:paraId="012CCAF6" w14:textId="3ADA65E8" w:rsidR="00452978" w:rsidRDefault="00452978" w:rsidP="00BF49CC">
      <w:pPr>
        <w:ind w:firstLine="720"/>
        <w:jc w:val="both"/>
        <w:rPr>
          <w:rFonts w:ascii="Times New Roman" w:hAnsi="Times New Roman" w:cs="Times New Roman"/>
          <w:b/>
          <w:bCs/>
          <w:lang w:val="en-GB"/>
        </w:rPr>
      </w:pPr>
    </w:p>
    <w:p w14:paraId="28FA02F2" w14:textId="7E1F9EB2" w:rsidR="00452978" w:rsidRDefault="00452978" w:rsidP="00B16D67">
      <w:pPr>
        <w:jc w:val="both"/>
        <w:rPr>
          <w:rFonts w:ascii="Times New Roman" w:hAnsi="Times New Roman" w:cs="Times New Roman"/>
          <w:b/>
          <w:bCs/>
          <w:lang w:val="en-GB"/>
        </w:rPr>
      </w:pPr>
    </w:p>
    <w:p w14:paraId="79F7FFB3" w14:textId="6E908827" w:rsidR="00452978" w:rsidRPr="00B16D67" w:rsidRDefault="00111DA4" w:rsidP="00B16D67">
      <w:pPr>
        <w:ind w:firstLine="720"/>
        <w:rPr>
          <w:rFonts w:ascii="Times New Roman" w:hAnsi="Times New Roman" w:cs="Times New Roman"/>
          <w:b/>
          <w:bCs/>
          <w:lang w:val="en-GB"/>
        </w:rPr>
      </w:pPr>
      <w:r>
        <w:rPr>
          <w:rFonts w:ascii="Times New Roman" w:hAnsi="Times New Roman" w:cs="Times New Roman"/>
          <w:b/>
          <w:bCs/>
          <w:lang w:val="en-GB"/>
        </w:rPr>
        <w:lastRenderedPageBreak/>
        <w:t xml:space="preserve">Figure 2 </w:t>
      </w:r>
      <w:r>
        <w:rPr>
          <w:rFonts w:ascii="Times New Roman" w:hAnsi="Times New Roman" w:cs="Times New Roman"/>
          <w:lang w:val="en-GB"/>
        </w:rPr>
        <w:t xml:space="preserve">is </w:t>
      </w:r>
      <w:r w:rsidRPr="00111DA4">
        <w:rPr>
          <w:rFonts w:ascii="Times New Roman" w:hAnsi="Times New Roman" w:cs="Times New Roman"/>
        </w:rPr>
        <w:t>a QQ plot</w:t>
      </w:r>
      <w:r>
        <w:rPr>
          <w:rFonts w:ascii="Times New Roman" w:hAnsi="Times New Roman" w:cs="Times New Roman"/>
        </w:rPr>
        <w:t>, which</w:t>
      </w:r>
      <w:r w:rsidRPr="00111DA4">
        <w:rPr>
          <w:rFonts w:ascii="Times New Roman" w:hAnsi="Times New Roman" w:cs="Times New Roman"/>
        </w:rPr>
        <w:t xml:space="preserve"> assesses how well the observed distribution matches </w:t>
      </w:r>
      <w:r>
        <w:rPr>
          <w:rFonts w:ascii="Times New Roman" w:hAnsi="Times New Roman" w:cs="Times New Roman"/>
        </w:rPr>
        <w:t>the</w:t>
      </w:r>
      <w:r w:rsidRPr="00111DA4">
        <w:rPr>
          <w:rFonts w:ascii="Times New Roman" w:hAnsi="Times New Roman" w:cs="Times New Roman"/>
        </w:rPr>
        <w:t xml:space="preserve"> theoretical </w:t>
      </w:r>
      <w:r>
        <w:rPr>
          <w:rFonts w:ascii="Times New Roman" w:hAnsi="Times New Roman" w:cs="Times New Roman"/>
        </w:rPr>
        <w:t xml:space="preserve">normal </w:t>
      </w:r>
      <w:r w:rsidRPr="00111DA4">
        <w:rPr>
          <w:rFonts w:ascii="Times New Roman" w:hAnsi="Times New Roman" w:cs="Times New Roman"/>
        </w:rPr>
        <w:t>distribution</w:t>
      </w:r>
      <w:r w:rsidR="009D3DE4">
        <w:rPr>
          <w:rFonts w:ascii="Times New Roman" w:hAnsi="Times New Roman" w:cs="Times New Roman"/>
          <w:lang w:val="en-GB"/>
        </w:rPr>
        <w:t>.</w:t>
      </w:r>
      <w:r w:rsidR="00C163F9">
        <w:rPr>
          <w:rFonts w:ascii="Times New Roman" w:hAnsi="Times New Roman" w:cs="Times New Roman"/>
          <w:lang w:val="en-GB"/>
        </w:rPr>
        <w:t xml:space="preserve"> The </w:t>
      </w:r>
      <w:r w:rsidR="007F1DBC">
        <w:rPr>
          <w:rFonts w:ascii="Times New Roman" w:hAnsi="Times New Roman" w:cs="Times New Roman"/>
          <w:lang w:val="en-GB"/>
        </w:rPr>
        <w:t>points fall close to the</w:t>
      </w:r>
      <w:r w:rsidR="00C163F9">
        <w:rPr>
          <w:rFonts w:ascii="Times New Roman" w:hAnsi="Times New Roman" w:cs="Times New Roman"/>
          <w:lang w:val="en-GB"/>
        </w:rPr>
        <w:t xml:space="preserve"> </w:t>
      </w:r>
      <w:r w:rsidR="007F1DBC">
        <w:rPr>
          <w:rFonts w:ascii="Times New Roman" w:hAnsi="Times New Roman" w:cs="Times New Roman"/>
          <w:lang w:val="en-GB"/>
        </w:rPr>
        <w:t xml:space="preserve">pink </w:t>
      </w:r>
      <w:r w:rsidR="005B222B">
        <w:rPr>
          <w:rFonts w:ascii="Times New Roman" w:hAnsi="Times New Roman" w:cs="Times New Roman"/>
          <w:lang w:val="en-GB"/>
        </w:rPr>
        <w:t xml:space="preserve">QQ </w:t>
      </w:r>
      <w:r w:rsidR="007F1DBC">
        <w:rPr>
          <w:rFonts w:ascii="Times New Roman" w:hAnsi="Times New Roman" w:cs="Times New Roman"/>
          <w:lang w:val="en-GB"/>
        </w:rPr>
        <w:t xml:space="preserve">line that passes through the quantiles of the theoretical normal distribution, suggesting the data is approximately normally distributed. This is a slightly different conclusion than the density plot, which is likely because the </w:t>
      </w:r>
      <w:r w:rsidR="007F1DBC" w:rsidRPr="00111DA4">
        <w:rPr>
          <w:rFonts w:ascii="Times New Roman" w:hAnsi="Times New Roman" w:cs="Times New Roman"/>
        </w:rPr>
        <w:t>QQ</w:t>
      </w:r>
      <w:r w:rsidR="007F1DBC">
        <w:rPr>
          <w:rFonts w:ascii="Times New Roman" w:hAnsi="Times New Roman" w:cs="Times New Roman"/>
        </w:rPr>
        <w:t xml:space="preserve"> plot </w:t>
      </w:r>
      <w:r w:rsidR="00F459E7">
        <w:rPr>
          <w:rFonts w:ascii="Times New Roman" w:hAnsi="Times New Roman" w:cs="Times New Roman"/>
        </w:rPr>
        <w:t>assumes a unimodal distribution and may have difficulties representing the bimodality observed in the density plot. We should note that the sample size is quite small (12 observations</w:t>
      </w:r>
      <w:r w:rsidR="00BB2224">
        <w:rPr>
          <w:rFonts w:ascii="Times New Roman" w:hAnsi="Times New Roman" w:cs="Times New Roman"/>
        </w:rPr>
        <w:t>, one for each election year between 1972-2016</w:t>
      </w:r>
      <w:r w:rsidR="00F459E7">
        <w:rPr>
          <w:rFonts w:ascii="Times New Roman" w:hAnsi="Times New Roman" w:cs="Times New Roman"/>
        </w:rPr>
        <w:t>), which can cause greater variability in both plots. Because of this, even the smallest measurement errors can have a large impact on the conclusions we derive from the data.</w:t>
      </w:r>
    </w:p>
    <w:p w14:paraId="6FABF614" w14:textId="31C48251" w:rsidR="00452978" w:rsidRDefault="00B16D67">
      <w:pP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4930C13" wp14:editId="5328603C">
                <wp:simplePos x="0" y="0"/>
                <wp:positionH relativeFrom="column">
                  <wp:posOffset>1262743</wp:posOffset>
                </wp:positionH>
                <wp:positionV relativeFrom="paragraph">
                  <wp:posOffset>6139815</wp:posOffset>
                </wp:positionV>
                <wp:extent cx="4087495" cy="457200"/>
                <wp:effectExtent l="0" t="0" r="1905" b="3810"/>
                <wp:wrapSquare wrapText="bothSides"/>
                <wp:docPr id="23173513" name="Text Box 1"/>
                <wp:cNvGraphicFramePr/>
                <a:graphic xmlns:a="http://schemas.openxmlformats.org/drawingml/2006/main">
                  <a:graphicData uri="http://schemas.microsoft.com/office/word/2010/wordprocessingShape">
                    <wps:wsp>
                      <wps:cNvSpPr txBox="1"/>
                      <wps:spPr>
                        <a:xfrm>
                          <a:off x="0" y="0"/>
                          <a:ext cx="4087495" cy="457200"/>
                        </a:xfrm>
                        <a:prstGeom prst="rect">
                          <a:avLst/>
                        </a:prstGeom>
                        <a:solidFill>
                          <a:prstClr val="white"/>
                        </a:solidFill>
                        <a:ln>
                          <a:noFill/>
                        </a:ln>
                      </wps:spPr>
                      <wps:txbx>
                        <w:txbxContent>
                          <w:p w14:paraId="74015FBC" w14:textId="77777777" w:rsidR="00B16D67" w:rsidRDefault="00B16D67" w:rsidP="00B16D67">
                            <w:pPr>
                              <w:pStyle w:val="Caption"/>
                            </w:pPr>
                            <w:r>
                              <w:t>Figure 2: QQ Plot for Electoral Turnout</w:t>
                            </w:r>
                          </w:p>
                          <w:p w14:paraId="73C2B7E3" w14:textId="77777777" w:rsidR="00B16D67" w:rsidRPr="000E471D" w:rsidRDefault="00B16D67" w:rsidP="00B16D67">
                            <w:pPr>
                              <w:spacing w:line="240" w:lineRule="auto"/>
                              <w:rPr>
                                <w:sz w:val="18"/>
                                <w:szCs w:val="18"/>
                              </w:rPr>
                            </w:pPr>
                            <w:r w:rsidRPr="000E471D">
                              <w:rPr>
                                <w:sz w:val="18"/>
                                <w:szCs w:val="18"/>
                              </w:rPr>
                              <w:t>Source: National Voting Eligible Population Turnout Rates, 1789-Present (v1.1).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30C13" id="_x0000_s1027" type="#_x0000_t202" style="position:absolute;margin-left:99.45pt;margin-top:483.45pt;width:321.85pt;height:3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" stroked="f">
                <v:textbox inset="0,0,0,0">
                  <w:txbxContent>
                    <w:p w14:paraId="74015FBC" w14:textId="77777777" w:rsidR="00B16D67" w:rsidRDefault="00B16D67" w:rsidP="00B16D67">
                      <w:pPr>
                        <w:pStyle w:val="Caption"/>
                      </w:pPr>
                      <w:r>
                        <w:t>Figure 2: QQ Plot for Electoral Turnout</w:t>
                      </w:r>
                    </w:p>
                    <w:p w14:paraId="73C2B7E3" w14:textId="77777777" w:rsidR="00B16D67" w:rsidRPr="000E471D" w:rsidRDefault="00B16D67" w:rsidP="00B16D67">
                      <w:pPr>
                        <w:spacing w:line="240" w:lineRule="auto"/>
                        <w:rPr>
                          <w:sz w:val="18"/>
                          <w:szCs w:val="18"/>
                        </w:rPr>
                      </w:pPr>
                      <w:r w:rsidRPr="000E471D">
                        <w:rPr>
                          <w:sz w:val="18"/>
                          <w:szCs w:val="18"/>
                        </w:rPr>
                        <w:t>Source: National Voting Eligible Population Turnout Rates, 1789-Present (v1.1).</w:t>
                      </w:r>
                    </w:p>
                  </w:txbxContent>
                </v:textbox>
                <w10:wrap type="square"/>
              </v:shape>
            </w:pict>
          </mc:Fallback>
        </mc:AlternateContent>
      </w:r>
      <w:r w:rsidR="00D063ED">
        <w:rPr>
          <w:rFonts w:ascii="Times New Roman" w:hAnsi="Times New Roman" w:cs="Times New Roman"/>
          <w:b/>
          <w:bCs/>
          <w:noProof/>
        </w:rPr>
        <w:drawing>
          <wp:inline distT="0" distB="0" distL="0" distR="0" wp14:anchorId="277D24F2" wp14:editId="3AD9F0C6">
            <wp:extent cx="6640286" cy="5990400"/>
            <wp:effectExtent l="0" t="0" r="1905" b="4445"/>
            <wp:docPr id="1734598351" name="Picture 4" descr="A graph with a red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4598351" name="Picture 4"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0286" cy="5990400"/>
                    </a:xfrm>
                    <a:prstGeom prst="rect">
                      <a:avLst/>
                    </a:prstGeom>
                  </pic:spPr>
                </pic:pic>
              </a:graphicData>
            </a:graphic>
          </wp:inline>
        </w:drawing>
      </w:r>
      <w:r w:rsidRPr="00B16D67">
        <w:rPr>
          <w:rFonts w:ascii="Times New Roman" w:hAnsi="Times New Roman" w:cs="Times New Roman"/>
          <w:noProof/>
        </w:rPr>
        <w:t xml:space="preserve"> </w:t>
      </w:r>
      <w:r w:rsidR="00D063ED" w:rsidRPr="00D063ED">
        <w:rPr>
          <w:rFonts w:ascii="Times New Roman" w:hAnsi="Times New Roman" w:cs="Times New Roman"/>
          <w:noProof/>
        </w:rPr>
        <w:t xml:space="preserve"> </w:t>
      </w:r>
      <w:r w:rsidR="00452978">
        <w:rPr>
          <w:rFonts w:ascii="Times New Roman" w:hAnsi="Times New Roman" w:cs="Times New Roman"/>
          <w:b/>
          <w:bCs/>
        </w:rPr>
        <w:br w:type="page"/>
      </w:r>
    </w:p>
    <w:p w14:paraId="407BD71E" w14:textId="3A627EEC" w:rsidR="00841BDC" w:rsidRDefault="004020CB" w:rsidP="007118AF">
      <w:pPr>
        <w:rPr>
          <w:rFonts w:ascii="Times New Roman" w:hAnsi="Times New Roman" w:cs="Times New Roman"/>
          <w:b/>
          <w:bCs/>
        </w:rPr>
      </w:pPr>
      <w:r w:rsidRPr="004020CB">
        <w:rPr>
          <w:rFonts w:ascii="Times New Roman" w:hAnsi="Times New Roman" w:cs="Times New Roman"/>
          <w:b/>
          <w:bCs/>
        </w:rPr>
        <w:lastRenderedPageBreak/>
        <w:t xml:space="preserve">The Relationship between </w:t>
      </w:r>
      <w:r>
        <w:rPr>
          <w:rFonts w:ascii="Times New Roman" w:hAnsi="Times New Roman" w:cs="Times New Roman"/>
          <w:b/>
          <w:bCs/>
        </w:rPr>
        <w:t>Electoral Turnout</w:t>
      </w:r>
      <w:r w:rsidRPr="004020CB">
        <w:rPr>
          <w:rFonts w:ascii="Times New Roman" w:hAnsi="Times New Roman" w:cs="Times New Roman"/>
          <w:b/>
          <w:bCs/>
        </w:rPr>
        <w:t xml:space="preserve"> and </w:t>
      </w:r>
      <w:r>
        <w:rPr>
          <w:rFonts w:ascii="Times New Roman" w:hAnsi="Times New Roman" w:cs="Times New Roman"/>
          <w:b/>
          <w:bCs/>
        </w:rPr>
        <w:t xml:space="preserve">Electoral  Competitiveness  </w:t>
      </w:r>
    </w:p>
    <w:p w14:paraId="59874897" w14:textId="61A11F35" w:rsidR="00051F0C" w:rsidRPr="00841BDC" w:rsidRDefault="00051F0C" w:rsidP="007118AF">
      <w:pPr>
        <w:rPr>
          <w:rFonts w:ascii="Times New Roman" w:hAnsi="Times New Roman" w:cs="Times New Roman"/>
          <w:b/>
          <w:bCs/>
        </w:rPr>
      </w:pPr>
    </w:p>
    <w:p w14:paraId="12E22FE5" w14:textId="1E2233F8" w:rsidR="00515E4F" w:rsidRDefault="005E4ADF" w:rsidP="005E4ADF">
      <w:pPr>
        <w:jc w:val="both"/>
        <w:rPr>
          <w:rFonts w:ascii="Times New Roman" w:hAnsi="Times New Roman" w:cs="Times New Roman"/>
        </w:rPr>
      </w:pPr>
      <w:r>
        <w:rPr>
          <w:rFonts w:ascii="Times New Roman" w:hAnsi="Times New Roman" w:cs="Times New Roman"/>
        </w:rPr>
        <w:tab/>
      </w:r>
      <w:r w:rsidR="00797F79" w:rsidRPr="00797F79">
        <w:rPr>
          <w:rFonts w:ascii="Times New Roman" w:hAnsi="Times New Roman" w:cs="Times New Roman"/>
          <w:b/>
          <w:bCs/>
        </w:rPr>
        <w:t>Figure 3</w:t>
      </w:r>
      <w:r w:rsidR="00797F79">
        <w:rPr>
          <w:rFonts w:ascii="Times New Roman" w:hAnsi="Times New Roman" w:cs="Times New Roman"/>
        </w:rPr>
        <w:t xml:space="preserve"> is time series plot demonstrating the temporal relationship between the variables. Electoral </w:t>
      </w:r>
      <w:r w:rsidR="009626EB">
        <w:rPr>
          <w:rFonts w:ascii="Times New Roman" w:hAnsi="Times New Roman" w:cs="Times New Roman"/>
        </w:rPr>
        <w:t>turnout</w:t>
      </w:r>
      <w:r w:rsidR="00797F79">
        <w:rPr>
          <w:rFonts w:ascii="Times New Roman" w:hAnsi="Times New Roman" w:cs="Times New Roman"/>
        </w:rPr>
        <w:t xml:space="preserve"> </w:t>
      </w:r>
      <w:r w:rsidR="004D4C2A">
        <w:rPr>
          <w:rFonts w:ascii="Times New Roman" w:hAnsi="Times New Roman" w:cs="Times New Roman"/>
        </w:rPr>
        <w:t xml:space="preserve">fluctuates much more drastically than </w:t>
      </w:r>
      <w:r w:rsidR="00D00EBA">
        <w:rPr>
          <w:rFonts w:ascii="Times New Roman" w:hAnsi="Times New Roman" w:cs="Times New Roman"/>
        </w:rPr>
        <w:t>competitiveness and takes on a larger range of values as well</w:t>
      </w:r>
      <w:r w:rsidR="0053682B">
        <w:rPr>
          <w:rFonts w:ascii="Times New Roman" w:hAnsi="Times New Roman" w:cs="Times New Roman"/>
        </w:rPr>
        <w:t xml:space="preserve">. </w:t>
      </w:r>
      <w:r w:rsidR="00D00EBA">
        <w:rPr>
          <w:rFonts w:ascii="Times New Roman" w:hAnsi="Times New Roman" w:cs="Times New Roman"/>
        </w:rPr>
        <w:t>Before 1992,</w:t>
      </w:r>
      <w:r w:rsidR="00051F0C">
        <w:rPr>
          <w:rFonts w:ascii="Times New Roman" w:hAnsi="Times New Roman" w:cs="Times New Roman"/>
        </w:rPr>
        <w:t xml:space="preserve"> </w:t>
      </w:r>
      <w:r w:rsidR="00D00EBA">
        <w:rPr>
          <w:rFonts w:ascii="Times New Roman" w:hAnsi="Times New Roman" w:cs="Times New Roman"/>
        </w:rPr>
        <w:t xml:space="preserve">both trend lines move in generally the same direction, but after </w:t>
      </w:r>
      <w:r w:rsidR="00051F0C">
        <w:rPr>
          <w:rFonts w:ascii="Times New Roman" w:hAnsi="Times New Roman" w:cs="Times New Roman"/>
        </w:rPr>
        <w:t>1992</w:t>
      </w:r>
      <w:r w:rsidR="009626EB">
        <w:rPr>
          <w:rFonts w:ascii="Times New Roman" w:hAnsi="Times New Roman" w:cs="Times New Roman"/>
        </w:rPr>
        <w:t xml:space="preserve"> it appears </w:t>
      </w:r>
      <w:r w:rsidR="00051F0C">
        <w:rPr>
          <w:rFonts w:ascii="Times New Roman" w:hAnsi="Times New Roman" w:cs="Times New Roman"/>
        </w:rPr>
        <w:t>that they have an inverse relationship.</w:t>
      </w:r>
      <w:r w:rsidR="004B5D59">
        <w:rPr>
          <w:rFonts w:ascii="Times New Roman" w:hAnsi="Times New Roman" w:cs="Times New Roman"/>
        </w:rPr>
        <w:t xml:space="preserve"> </w:t>
      </w:r>
      <w:r w:rsidR="00D00EBA">
        <w:rPr>
          <w:rFonts w:ascii="Times New Roman" w:hAnsi="Times New Roman" w:cs="Times New Roman"/>
        </w:rPr>
        <w:t>There is a notable spike in turnout and drop in competitiveness between 2000 and 2004, likely due to the aftermath o</w:t>
      </w:r>
      <w:r w:rsidR="006C5CE8">
        <w:rPr>
          <w:rFonts w:ascii="Times New Roman" w:hAnsi="Times New Roman" w:cs="Times New Roman"/>
        </w:rPr>
        <w:t>f</w:t>
      </w:r>
      <w:r w:rsidR="00D00EBA">
        <w:rPr>
          <w:rFonts w:ascii="Times New Roman" w:hAnsi="Times New Roman" w:cs="Times New Roman"/>
        </w:rPr>
        <w:t xml:space="preserve"> 9/11. </w:t>
      </w:r>
      <w:r w:rsidR="00686959">
        <w:rPr>
          <w:rFonts w:ascii="Times New Roman" w:hAnsi="Times New Roman" w:cs="Times New Roman"/>
        </w:rPr>
        <w:t xml:space="preserve">The change in relationship between the two variables </w:t>
      </w:r>
      <w:r w:rsidR="006C5CE8">
        <w:rPr>
          <w:rFonts w:ascii="Times New Roman" w:hAnsi="Times New Roman" w:cs="Times New Roman"/>
        </w:rPr>
        <w:t xml:space="preserve">following 9/11 may be due to increased cooperation and agreement on policies focused on internal affairs and sense of urgency amongst citizens to become politically involved. </w:t>
      </w:r>
    </w:p>
    <w:p w14:paraId="7BECA187" w14:textId="77777777" w:rsidR="00FB7167" w:rsidRDefault="00FB7167" w:rsidP="005E4ADF">
      <w:pPr>
        <w:jc w:val="both"/>
        <w:rPr>
          <w:rFonts w:ascii="Times New Roman" w:hAnsi="Times New Roman" w:cs="Times New Roman"/>
        </w:rPr>
      </w:pPr>
    </w:p>
    <w:p w14:paraId="66C6900F" w14:textId="7093389A" w:rsidR="00515E4F" w:rsidRDefault="00FB7167" w:rsidP="00452978">
      <w:pPr>
        <w:jc w:val="center"/>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114856CC" wp14:editId="5E049C06">
                <wp:simplePos x="0" y="0"/>
                <wp:positionH relativeFrom="column">
                  <wp:posOffset>1567543</wp:posOffset>
                </wp:positionH>
                <wp:positionV relativeFrom="paragraph">
                  <wp:posOffset>5984694</wp:posOffset>
                </wp:positionV>
                <wp:extent cx="4087495" cy="731520"/>
                <wp:effectExtent l="0" t="0" r="1905" b="5080"/>
                <wp:wrapNone/>
                <wp:docPr id="1495358313" name="Text Box 1"/>
                <wp:cNvGraphicFramePr/>
                <a:graphic xmlns:a="http://schemas.openxmlformats.org/drawingml/2006/main">
                  <a:graphicData uri="http://schemas.microsoft.com/office/word/2010/wordprocessingShape">
                    <wps:wsp>
                      <wps:cNvSpPr txBox="1"/>
                      <wps:spPr>
                        <a:xfrm>
                          <a:off x="0" y="0"/>
                          <a:ext cx="4087495" cy="731520"/>
                        </a:xfrm>
                        <a:prstGeom prst="rect">
                          <a:avLst/>
                        </a:prstGeom>
                        <a:solidFill>
                          <a:prstClr val="white"/>
                        </a:solidFill>
                        <a:ln>
                          <a:noFill/>
                        </a:ln>
                      </wps:spPr>
                      <wps:txbx>
                        <w:txbxContent>
                          <w:p w14:paraId="0BFDA550" w14:textId="77777777" w:rsidR="00FB7167" w:rsidRDefault="00FB7167" w:rsidP="00FB7167">
                            <w:pPr>
                              <w:pStyle w:val="Caption"/>
                            </w:pPr>
                            <w:r>
                              <w:t>Figure 3: Time Series Plot for Electoral Competitiveness and Turnout</w:t>
                            </w:r>
                          </w:p>
                          <w:p w14:paraId="1CBBB03A" w14:textId="77777777" w:rsidR="00FB7167" w:rsidRPr="000E471D" w:rsidRDefault="00FB7167" w:rsidP="00FB7167">
                            <w:pPr>
                              <w:spacing w:line="240" w:lineRule="auto"/>
                              <w:rPr>
                                <w:sz w:val="18"/>
                                <w:szCs w:val="18"/>
                              </w:rPr>
                            </w:pPr>
                            <w:r w:rsidRPr="000E471D">
                              <w:rPr>
                                <w:sz w:val="18"/>
                                <w:szCs w:val="18"/>
                              </w:rPr>
                              <w:t>Source: National Voting Eligible Population Turnout Rates, 1789-Present (v1.1).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856CC" id="_x0000_s1028" type="#_x0000_t202" style="position:absolute;left:0;text-align:left;margin-left:123.45pt;margin-top:471.25pt;width:321.85pt;height:57.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" stroked="f">
                <v:textbox inset="0,0,0,0">
                  <w:txbxContent>
                    <w:p w14:paraId="0BFDA550" w14:textId="77777777" w:rsidR="00FB7167" w:rsidRDefault="00FB7167" w:rsidP="00FB7167">
                      <w:pPr>
                        <w:pStyle w:val="Caption"/>
                      </w:pPr>
                      <w:r>
                        <w:t>Figure 3: Time Series Plot for Electoral Competitiveness and Turnout</w:t>
                      </w:r>
                    </w:p>
                    <w:p w14:paraId="1CBBB03A" w14:textId="77777777" w:rsidR="00FB7167" w:rsidRPr="000E471D" w:rsidRDefault="00FB7167" w:rsidP="00FB7167">
                      <w:pPr>
                        <w:spacing w:line="240" w:lineRule="auto"/>
                        <w:rPr>
                          <w:sz w:val="18"/>
                          <w:szCs w:val="18"/>
                        </w:rPr>
                      </w:pPr>
                      <w:r w:rsidRPr="000E471D">
                        <w:rPr>
                          <w:sz w:val="18"/>
                          <w:szCs w:val="18"/>
                        </w:rPr>
                        <w:t>Source: National Voting Eligible Population Turnout Rates, 1789-Present (v1.1).</w:t>
                      </w:r>
                    </w:p>
                  </w:txbxContent>
                </v:textbox>
              </v:shape>
            </w:pict>
          </mc:Fallback>
        </mc:AlternateContent>
      </w:r>
      <w:r w:rsidR="00452978">
        <w:rPr>
          <w:rFonts w:ascii="Times New Roman" w:hAnsi="Times New Roman" w:cs="Times New Roman"/>
          <w:noProof/>
        </w:rPr>
        <w:drawing>
          <wp:inline distT="0" distB="0" distL="0" distR="0" wp14:anchorId="26FE1E0D" wp14:editId="745F6DA1">
            <wp:extent cx="5986780" cy="5986780"/>
            <wp:effectExtent l="0" t="0" r="0" b="0"/>
            <wp:docPr id="2102782612" name="Picture 10" descr="A graph of a graph showing the results of the presidential e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82612" name="Picture 10" descr="A graph of a graph showing the results of the presidential elec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1983" cy="6001983"/>
                    </a:xfrm>
                    <a:prstGeom prst="rect">
                      <a:avLst/>
                    </a:prstGeom>
                  </pic:spPr>
                </pic:pic>
              </a:graphicData>
            </a:graphic>
          </wp:inline>
        </w:drawing>
      </w:r>
    </w:p>
    <w:p w14:paraId="4F70BB48" w14:textId="424BE9C8" w:rsidR="00FB7167" w:rsidRDefault="004B3EC0" w:rsidP="00FB7167">
      <w:pPr>
        <w:jc w:val="both"/>
        <w:rPr>
          <w:rFonts w:ascii="Times New Roman" w:hAnsi="Times New Roman" w:cs="Times New Roman"/>
        </w:rPr>
      </w:pPr>
      <w:r w:rsidRPr="004B3EC0">
        <w:rPr>
          <w:rFonts w:ascii="Times New Roman" w:hAnsi="Times New Roman" w:cs="Times New Roman"/>
          <w:sz w:val="22"/>
          <w:szCs w:val="22"/>
        </w:rPr>
        <w:t xml:space="preserve"> </w:t>
      </w:r>
      <w:r w:rsidR="00490D6F">
        <w:rPr>
          <w:rFonts w:ascii="Times New Roman" w:hAnsi="Times New Roman" w:cs="Times New Roman"/>
          <w:sz w:val="22"/>
          <w:szCs w:val="22"/>
        </w:rPr>
        <w:t xml:space="preserve"> </w:t>
      </w:r>
      <w:r w:rsidR="00452978">
        <w:rPr>
          <w:rFonts w:ascii="Times New Roman" w:hAnsi="Times New Roman" w:cs="Times New Roman"/>
        </w:rPr>
        <w:tab/>
      </w:r>
      <w:r w:rsidR="00FB7167">
        <w:rPr>
          <w:rFonts w:ascii="Times New Roman" w:hAnsi="Times New Roman" w:cs="Times New Roman"/>
        </w:rPr>
        <w:br w:type="page"/>
      </w:r>
    </w:p>
    <w:p w14:paraId="36130320" w14:textId="6094F003" w:rsidR="00452978" w:rsidRDefault="00452978" w:rsidP="00FB7167">
      <w:pPr>
        <w:ind w:firstLine="720"/>
        <w:jc w:val="both"/>
        <w:rPr>
          <w:rFonts w:ascii="Times New Roman" w:hAnsi="Times New Roman" w:cs="Times New Roman"/>
        </w:rPr>
      </w:pPr>
      <w:r w:rsidRPr="00AD441E">
        <w:rPr>
          <w:rFonts w:ascii="Times New Roman" w:hAnsi="Times New Roman" w:cs="Times New Roman"/>
          <w:b/>
          <w:bCs/>
        </w:rPr>
        <w:lastRenderedPageBreak/>
        <w:t>Figure 4</w:t>
      </w:r>
      <w:r>
        <w:rPr>
          <w:rFonts w:ascii="Times New Roman" w:hAnsi="Times New Roman" w:cs="Times New Roman"/>
        </w:rPr>
        <w:t xml:space="preserve"> shows a scatterplot of electoral competitiveness and electoral turnout, with a LOESS curve fitted. A span of 0.75 was chosen because of the limited size of the dataset. Since fewer data points typically runs the risk of greater variability, a higher span ensured that there was a more stable estimate of the underlying trend. The graph displays a negative relationship between the two variables, affirming the conclusion derived from </w:t>
      </w:r>
      <w:r w:rsidRPr="00FE399A">
        <w:rPr>
          <w:rFonts w:ascii="Times New Roman" w:hAnsi="Times New Roman" w:cs="Times New Roman"/>
          <w:b/>
          <w:bCs/>
        </w:rPr>
        <w:t>Figure 3</w:t>
      </w:r>
      <w:r>
        <w:rPr>
          <w:rFonts w:ascii="Times New Roman" w:hAnsi="Times New Roman" w:cs="Times New Roman"/>
        </w:rPr>
        <w:t xml:space="preserve">. </w:t>
      </w:r>
    </w:p>
    <w:p w14:paraId="46BA769A" w14:textId="77777777" w:rsidR="0017333A" w:rsidRDefault="0017333A" w:rsidP="00FB7167">
      <w:pPr>
        <w:ind w:firstLine="720"/>
        <w:jc w:val="both"/>
        <w:rPr>
          <w:rFonts w:ascii="Times New Roman" w:hAnsi="Times New Roman" w:cs="Times New Roman"/>
        </w:rPr>
      </w:pPr>
    </w:p>
    <w:p w14:paraId="7458D4C8" w14:textId="27DB60BD" w:rsidR="00905E6C" w:rsidRDefault="00905E6C" w:rsidP="00490D6F">
      <w:pPr>
        <w:rPr>
          <w:rFonts w:ascii="Times New Roman" w:hAnsi="Times New Roman" w:cs="Times New Roman"/>
          <w:sz w:val="22"/>
          <w:szCs w:val="22"/>
        </w:rPr>
      </w:pPr>
      <w:r>
        <w:rPr>
          <w:noProof/>
        </w:rPr>
        <mc:AlternateContent>
          <mc:Choice Requires="wps">
            <w:drawing>
              <wp:anchor distT="0" distB="0" distL="114300" distR="114300" simplePos="0" relativeHeight="251679744" behindDoc="0" locked="0" layoutInCell="1" allowOverlap="1" wp14:anchorId="43923D55" wp14:editId="181B9D61">
                <wp:simplePos x="0" y="0"/>
                <wp:positionH relativeFrom="column">
                  <wp:posOffset>1262380</wp:posOffset>
                </wp:positionH>
                <wp:positionV relativeFrom="paragraph">
                  <wp:posOffset>5993130</wp:posOffset>
                </wp:positionV>
                <wp:extent cx="4087495" cy="730800"/>
                <wp:effectExtent l="0" t="0" r="1905" b="6350"/>
                <wp:wrapNone/>
                <wp:docPr id="998250003" name="Text Box 1"/>
                <wp:cNvGraphicFramePr/>
                <a:graphic xmlns:a="http://schemas.openxmlformats.org/drawingml/2006/main">
                  <a:graphicData uri="http://schemas.microsoft.com/office/word/2010/wordprocessingShape">
                    <wps:wsp>
                      <wps:cNvSpPr txBox="1"/>
                      <wps:spPr>
                        <a:xfrm>
                          <a:off x="0" y="0"/>
                          <a:ext cx="4087495" cy="730800"/>
                        </a:xfrm>
                        <a:prstGeom prst="rect">
                          <a:avLst/>
                        </a:prstGeom>
                        <a:solidFill>
                          <a:prstClr val="white"/>
                        </a:solidFill>
                        <a:ln>
                          <a:noFill/>
                        </a:ln>
                      </wps:spPr>
                      <wps:txbx>
                        <w:txbxContent>
                          <w:p w14:paraId="0EE7EB67" w14:textId="4DC265E8" w:rsidR="00905E6C" w:rsidRDefault="00905E6C" w:rsidP="00905E6C">
                            <w:pPr>
                              <w:pStyle w:val="Caption"/>
                            </w:pPr>
                            <w:r>
                              <w:t xml:space="preserve">Figure </w:t>
                            </w:r>
                            <w:r w:rsidR="00B57801">
                              <w:t>4: Scatterplot with fitted loess curve.</w:t>
                            </w:r>
                          </w:p>
                          <w:p w14:paraId="2CBE51D9" w14:textId="2DD475B5" w:rsidR="00B57801" w:rsidRPr="00B57801" w:rsidRDefault="00B57801" w:rsidP="00B57801">
                            <w:pPr>
                              <w:rPr>
                                <w:sz w:val="18"/>
                                <w:szCs w:val="18"/>
                              </w:rPr>
                            </w:pPr>
                            <w:r w:rsidRPr="00B57801">
                              <w:rPr>
                                <w:sz w:val="18"/>
                                <w:szCs w:val="18"/>
                              </w:rPr>
                              <w:t>Span = 0.75</w:t>
                            </w:r>
                          </w:p>
                          <w:p w14:paraId="723E93B9" w14:textId="77777777" w:rsidR="00905E6C" w:rsidRPr="000E471D" w:rsidRDefault="00905E6C" w:rsidP="00905E6C">
                            <w:pPr>
                              <w:spacing w:line="240" w:lineRule="auto"/>
                              <w:rPr>
                                <w:sz w:val="18"/>
                                <w:szCs w:val="18"/>
                              </w:rPr>
                            </w:pPr>
                            <w:r w:rsidRPr="000E471D">
                              <w:rPr>
                                <w:sz w:val="18"/>
                                <w:szCs w:val="18"/>
                              </w:rPr>
                              <w:t>Source: National Voting Eligible Population Turnout Rates, 1789-Present (v1.1).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23D55" id="_x0000_s1029" type="#_x0000_t202" style="position:absolute;margin-left:99.4pt;margin-top:471.9pt;width:321.85pt;height:57.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" stroked="f">
                <v:textbox inset="0,0,0,0">
                  <w:txbxContent>
                    <w:p w14:paraId="0EE7EB67" w14:textId="4DC265E8" w:rsidR="00905E6C" w:rsidRDefault="00905E6C" w:rsidP="00905E6C">
                      <w:pPr>
                        <w:pStyle w:val="Caption"/>
                      </w:pPr>
                      <w:r>
                        <w:t xml:space="preserve">Figure </w:t>
                      </w:r>
                      <w:r w:rsidR="00B57801">
                        <w:t>4: Scatterplot with fitted loess curve.</w:t>
                      </w:r>
                    </w:p>
                    <w:p w14:paraId="2CBE51D9" w14:textId="2DD475B5" w:rsidR="00B57801" w:rsidRPr="00B57801" w:rsidRDefault="00B57801" w:rsidP="00B57801">
                      <w:pPr>
                        <w:rPr>
                          <w:sz w:val="18"/>
                          <w:szCs w:val="18"/>
                        </w:rPr>
                      </w:pPr>
                      <w:r w:rsidRPr="00B57801">
                        <w:rPr>
                          <w:sz w:val="18"/>
                          <w:szCs w:val="18"/>
                        </w:rPr>
                        <w:t>Span = 0.75</w:t>
                      </w:r>
                    </w:p>
                    <w:p w14:paraId="723E93B9" w14:textId="77777777" w:rsidR="00905E6C" w:rsidRPr="000E471D" w:rsidRDefault="00905E6C" w:rsidP="00905E6C">
                      <w:pPr>
                        <w:spacing w:line="240" w:lineRule="auto"/>
                        <w:rPr>
                          <w:sz w:val="18"/>
                          <w:szCs w:val="18"/>
                        </w:rPr>
                      </w:pPr>
                      <w:r w:rsidRPr="000E471D">
                        <w:rPr>
                          <w:sz w:val="18"/>
                          <w:szCs w:val="18"/>
                        </w:rPr>
                        <w:t>Source: National Voting Eligible Population Turnout Rates, 1789-Present (v1.1).</w:t>
                      </w:r>
                    </w:p>
                  </w:txbxContent>
                </v:textbox>
              </v:shape>
            </w:pict>
          </mc:Fallback>
        </mc:AlternateContent>
      </w:r>
      <w:r w:rsidR="00FB7167">
        <w:rPr>
          <w:rFonts w:ascii="Times New Roman" w:hAnsi="Times New Roman" w:cs="Times New Roman"/>
          <w:noProof/>
          <w:sz w:val="22"/>
          <w:szCs w:val="22"/>
        </w:rPr>
        <w:drawing>
          <wp:inline distT="0" distB="0" distL="0" distR="0" wp14:anchorId="75B155CA" wp14:editId="261B0336">
            <wp:extent cx="5990400" cy="5990400"/>
            <wp:effectExtent l="0" t="0" r="4445" b="4445"/>
            <wp:docPr id="1469395427"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5427" name="Picture 2" descr="A graph with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0400" cy="5990400"/>
                    </a:xfrm>
                    <a:prstGeom prst="rect">
                      <a:avLst/>
                    </a:prstGeom>
                  </pic:spPr>
                </pic:pic>
              </a:graphicData>
            </a:graphic>
          </wp:inline>
        </w:drawing>
      </w:r>
    </w:p>
    <w:p w14:paraId="37507189" w14:textId="7BA2992D" w:rsidR="000960C6" w:rsidRPr="0027200C" w:rsidRDefault="000960C6" w:rsidP="00490D6F">
      <w:pPr>
        <w:rPr>
          <w:rFonts w:ascii="Times New Roman" w:hAnsi="Times New Roman" w:cs="Times New Roman"/>
        </w:rPr>
      </w:pPr>
      <w:r w:rsidRPr="004B3EC0">
        <w:rPr>
          <w:rFonts w:ascii="Times New Roman" w:hAnsi="Times New Roman" w:cs="Times New Roman"/>
          <w:sz w:val="22"/>
          <w:szCs w:val="22"/>
        </w:rPr>
        <w:br w:type="page"/>
      </w:r>
    </w:p>
    <w:p w14:paraId="75791F72" w14:textId="2984035E" w:rsidR="00DC7ACD" w:rsidRPr="00894FA7" w:rsidRDefault="00DC7ACD" w:rsidP="00894FA7">
      <w:pPr>
        <w:spacing w:line="360" w:lineRule="auto"/>
        <w:jc w:val="center"/>
        <w:rPr>
          <w:rFonts w:ascii="Times New Roman" w:hAnsi="Times New Roman" w:cs="Times New Roman"/>
          <w:b/>
          <w:bCs/>
        </w:rPr>
      </w:pPr>
      <w:r w:rsidRPr="00894FA7">
        <w:rPr>
          <w:rFonts w:ascii="Times New Roman" w:hAnsi="Times New Roman" w:cs="Times New Roman"/>
          <w:b/>
          <w:bCs/>
        </w:rPr>
        <w:lastRenderedPageBreak/>
        <w:t>References</w:t>
      </w:r>
    </w:p>
    <w:p w14:paraId="424FB184" w14:textId="73538AA2" w:rsidR="00EC3D98" w:rsidRDefault="00EC3D98" w:rsidP="00EC3D98">
      <w:pPr>
        <w:pStyle w:val="NormalWeb"/>
        <w:ind w:left="567" w:hanging="567"/>
      </w:pPr>
      <w:r>
        <w:t xml:space="preserve">Bureau, U. C. (2021, October 8). </w:t>
      </w:r>
      <w:r>
        <w:rPr>
          <w:i/>
          <w:iCs/>
        </w:rPr>
        <w:t>Geographic Levels</w:t>
      </w:r>
      <w:r>
        <w:t xml:space="preserve">. Census.gov. </w:t>
      </w:r>
      <w:hyperlink r:id="rId11" w:history="1">
        <w:r w:rsidRPr="00EB585E">
          <w:rPr>
            <w:rStyle w:val="Hyperlink"/>
          </w:rPr>
          <w:t>https://www.census.gov/programs-surveys/economic-census/guidance-geographies/levels.html</w:t>
        </w:r>
      </w:hyperlink>
      <w:r>
        <w:t xml:space="preserve">.   </w:t>
      </w:r>
    </w:p>
    <w:p w14:paraId="735753AD" w14:textId="257C2FD3" w:rsidR="000F6EC8" w:rsidRDefault="00D62212" w:rsidP="000F6EC8">
      <w:pPr>
        <w:pStyle w:val="NormalWeb"/>
        <w:ind w:left="720" w:hanging="720"/>
      </w:pPr>
      <w:r w:rsidRPr="00D62212">
        <w:t xml:space="preserve">Michael McDonald. 2023. “National Voting Eligible Population Turnout Rates, 1789-Present (v1.1).” </w:t>
      </w:r>
      <w:hyperlink r:id="rId12" w:history="1">
        <w:r w:rsidRPr="00147927">
          <w:rPr>
            <w:rStyle w:val="Hyperlink"/>
          </w:rPr>
          <w:t>https://election.lab.ufl.edu/dataset/national-vep-turnout-rates-1789-present-v1-1/</w:t>
        </w:r>
      </w:hyperlink>
      <w:r>
        <w:t xml:space="preserve"> </w:t>
      </w:r>
      <w:r w:rsidRPr="00D62212">
        <w:t xml:space="preserve"> </w:t>
      </w:r>
      <w:r>
        <w:t xml:space="preserve"> </w:t>
      </w:r>
    </w:p>
    <w:p w14:paraId="69EBC7E6" w14:textId="77777777" w:rsidR="00E13EB7" w:rsidRDefault="00E13EB7" w:rsidP="00E13EB7">
      <w:pPr>
        <w:pStyle w:val="NormalWeb"/>
        <w:ind w:left="567" w:hanging="567"/>
        <w:rPr>
          <w:rStyle w:val="Hyperlink"/>
        </w:rPr>
      </w:pPr>
      <w:r>
        <w:t xml:space="preserve">National Archives and Records Administration. (n.d.). </w:t>
      </w:r>
      <w:r>
        <w:rPr>
          <w:i/>
          <w:iCs/>
        </w:rPr>
        <w:t>Distribution of electoral votes</w:t>
      </w:r>
      <w:r>
        <w:t xml:space="preserve">. National Archives and Records Administration. </w:t>
      </w:r>
      <w:hyperlink r:id="rId13" w:history="1">
        <w:r w:rsidRPr="00EB585E">
          <w:rPr>
            <w:rStyle w:val="Hyperlink"/>
          </w:rPr>
          <w:t>https://www.archives.gov/electoral-college/allocation</w:t>
        </w:r>
      </w:hyperlink>
    </w:p>
    <w:p w14:paraId="1AFEF88E" w14:textId="2C1636B5" w:rsidR="000F6EC8" w:rsidRDefault="000F6EC8" w:rsidP="000F6EC8">
      <w:pPr>
        <w:pStyle w:val="NormalWeb"/>
        <w:ind w:left="567" w:hanging="567"/>
      </w:pPr>
      <w:r>
        <w:rPr>
          <w:i/>
          <w:iCs/>
        </w:rPr>
        <w:t>Voter turnout</w:t>
      </w:r>
      <w:r>
        <w:t xml:space="preserve">. </w:t>
      </w:r>
      <w:proofErr w:type="spellStart"/>
      <w:r>
        <w:t>FairVote</w:t>
      </w:r>
      <w:proofErr w:type="spellEnd"/>
      <w:r>
        <w:t xml:space="preserve">. (2023, June 16). </w:t>
      </w:r>
      <w:hyperlink r:id="rId14" w:anchor="voter-turnout-by-state" w:history="1">
        <w:r w:rsidRPr="00147927">
          <w:rPr>
            <w:rStyle w:val="Hyperlink"/>
          </w:rPr>
          <w:t>https://fairvote.org/resources/voter-turnout/#voter-turnout-by-state</w:t>
        </w:r>
      </w:hyperlink>
      <w:r>
        <w:t xml:space="preserve">  </w:t>
      </w:r>
    </w:p>
    <w:p w14:paraId="1CD5E1EC" w14:textId="329CD365" w:rsidR="006F37EB" w:rsidRPr="00BD11D1" w:rsidRDefault="006F37EB" w:rsidP="002E1733">
      <w:pPr>
        <w:pStyle w:val="NormalWeb"/>
      </w:pPr>
    </w:p>
    <w:sectPr w:rsidR="006F37EB" w:rsidRPr="00BD11D1" w:rsidSect="000E471D">
      <w:footerReference w:type="even" r:id="rId15"/>
      <w:footerReference w:type="default" r:id="rId16"/>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572B" w14:textId="77777777" w:rsidR="00780374" w:rsidRDefault="00780374" w:rsidP="00990846">
      <w:pPr>
        <w:spacing w:after="0" w:line="240" w:lineRule="auto"/>
      </w:pPr>
      <w:r>
        <w:separator/>
      </w:r>
    </w:p>
  </w:endnote>
  <w:endnote w:type="continuationSeparator" w:id="0">
    <w:p w14:paraId="2310BFCC" w14:textId="77777777" w:rsidR="00780374" w:rsidRDefault="00780374" w:rsidP="0099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8913258"/>
      <w:docPartObj>
        <w:docPartGallery w:val="Page Numbers (Bottom of Page)"/>
        <w:docPartUnique/>
      </w:docPartObj>
    </w:sdtPr>
    <w:sdtContent>
      <w:p w14:paraId="53456A5A" w14:textId="15A89561"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6F34B1" w14:textId="77777777" w:rsidR="00990846" w:rsidRDefault="00990846" w:rsidP="00990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934874"/>
      <w:docPartObj>
        <w:docPartGallery w:val="Page Numbers (Bottom of Page)"/>
        <w:docPartUnique/>
      </w:docPartObj>
    </w:sdtPr>
    <w:sdtContent>
      <w:p w14:paraId="70ECC27E" w14:textId="277F3759"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8A3A56" w14:textId="77777777" w:rsidR="00990846" w:rsidRDefault="00990846" w:rsidP="009908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06E3" w14:textId="77777777" w:rsidR="00780374" w:rsidRDefault="00780374" w:rsidP="00990846">
      <w:pPr>
        <w:spacing w:after="0" w:line="240" w:lineRule="auto"/>
      </w:pPr>
      <w:r>
        <w:separator/>
      </w:r>
    </w:p>
  </w:footnote>
  <w:footnote w:type="continuationSeparator" w:id="0">
    <w:p w14:paraId="08C066B1" w14:textId="77777777" w:rsidR="00780374" w:rsidRDefault="00780374" w:rsidP="00990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1F54"/>
    <w:multiLevelType w:val="hybridMultilevel"/>
    <w:tmpl w:val="45C87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0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5D"/>
    <w:rsid w:val="000004B9"/>
    <w:rsid w:val="00000D22"/>
    <w:rsid w:val="00001ECD"/>
    <w:rsid w:val="00004BE8"/>
    <w:rsid w:val="00031A80"/>
    <w:rsid w:val="00051F0C"/>
    <w:rsid w:val="000607C7"/>
    <w:rsid w:val="0006311A"/>
    <w:rsid w:val="000665D4"/>
    <w:rsid w:val="00066A5A"/>
    <w:rsid w:val="00082893"/>
    <w:rsid w:val="00084257"/>
    <w:rsid w:val="00085C1A"/>
    <w:rsid w:val="00092816"/>
    <w:rsid w:val="000960C6"/>
    <w:rsid w:val="000A2A41"/>
    <w:rsid w:val="000A4262"/>
    <w:rsid w:val="000A7C64"/>
    <w:rsid w:val="000D553F"/>
    <w:rsid w:val="000E2C2E"/>
    <w:rsid w:val="000E471D"/>
    <w:rsid w:val="000F6EC8"/>
    <w:rsid w:val="00101E9C"/>
    <w:rsid w:val="00111DA4"/>
    <w:rsid w:val="00124443"/>
    <w:rsid w:val="00124B6B"/>
    <w:rsid w:val="001368DA"/>
    <w:rsid w:val="001461AD"/>
    <w:rsid w:val="00152946"/>
    <w:rsid w:val="001536E2"/>
    <w:rsid w:val="0017333A"/>
    <w:rsid w:val="0017729B"/>
    <w:rsid w:val="0018293F"/>
    <w:rsid w:val="0018451B"/>
    <w:rsid w:val="001B52A1"/>
    <w:rsid w:val="001C5C40"/>
    <w:rsid w:val="001D49E0"/>
    <w:rsid w:val="001F1663"/>
    <w:rsid w:val="0020430B"/>
    <w:rsid w:val="00204795"/>
    <w:rsid w:val="0020738F"/>
    <w:rsid w:val="00213032"/>
    <w:rsid w:val="00213378"/>
    <w:rsid w:val="00216AF4"/>
    <w:rsid w:val="00216D82"/>
    <w:rsid w:val="002232BD"/>
    <w:rsid w:val="00235401"/>
    <w:rsid w:val="002559D9"/>
    <w:rsid w:val="0026199C"/>
    <w:rsid w:val="0026745E"/>
    <w:rsid w:val="0027200C"/>
    <w:rsid w:val="00277D29"/>
    <w:rsid w:val="00297FAA"/>
    <w:rsid w:val="002B0AF4"/>
    <w:rsid w:val="002B2D2B"/>
    <w:rsid w:val="002E1733"/>
    <w:rsid w:val="002F6768"/>
    <w:rsid w:val="0030039F"/>
    <w:rsid w:val="00300C96"/>
    <w:rsid w:val="003057C5"/>
    <w:rsid w:val="00306531"/>
    <w:rsid w:val="003222B7"/>
    <w:rsid w:val="00330D60"/>
    <w:rsid w:val="003332F8"/>
    <w:rsid w:val="00333B8A"/>
    <w:rsid w:val="00334DD2"/>
    <w:rsid w:val="003451DE"/>
    <w:rsid w:val="00347E75"/>
    <w:rsid w:val="003554F8"/>
    <w:rsid w:val="00356A51"/>
    <w:rsid w:val="00374C16"/>
    <w:rsid w:val="00376DB2"/>
    <w:rsid w:val="00382DA1"/>
    <w:rsid w:val="00385BA9"/>
    <w:rsid w:val="003D1DEA"/>
    <w:rsid w:val="003D62CD"/>
    <w:rsid w:val="003E0141"/>
    <w:rsid w:val="003E03FB"/>
    <w:rsid w:val="003E426F"/>
    <w:rsid w:val="004020CB"/>
    <w:rsid w:val="00411D4C"/>
    <w:rsid w:val="00416396"/>
    <w:rsid w:val="00423EB3"/>
    <w:rsid w:val="004254BC"/>
    <w:rsid w:val="00426F18"/>
    <w:rsid w:val="004302A8"/>
    <w:rsid w:val="00433C78"/>
    <w:rsid w:val="004501F7"/>
    <w:rsid w:val="00452978"/>
    <w:rsid w:val="00464B14"/>
    <w:rsid w:val="00465775"/>
    <w:rsid w:val="004659B8"/>
    <w:rsid w:val="00470923"/>
    <w:rsid w:val="00477FC4"/>
    <w:rsid w:val="00482B2D"/>
    <w:rsid w:val="00490D6F"/>
    <w:rsid w:val="004959CB"/>
    <w:rsid w:val="004A3954"/>
    <w:rsid w:val="004A6F4A"/>
    <w:rsid w:val="004B2606"/>
    <w:rsid w:val="004B3EC0"/>
    <w:rsid w:val="004B5D59"/>
    <w:rsid w:val="004B7AE7"/>
    <w:rsid w:val="004D4C2A"/>
    <w:rsid w:val="004D5621"/>
    <w:rsid w:val="004D6E31"/>
    <w:rsid w:val="004E288D"/>
    <w:rsid w:val="005149D2"/>
    <w:rsid w:val="00515E4F"/>
    <w:rsid w:val="00523655"/>
    <w:rsid w:val="00525041"/>
    <w:rsid w:val="00531CC5"/>
    <w:rsid w:val="00533E8D"/>
    <w:rsid w:val="0053682B"/>
    <w:rsid w:val="0055462D"/>
    <w:rsid w:val="0056711C"/>
    <w:rsid w:val="00573BFE"/>
    <w:rsid w:val="00581737"/>
    <w:rsid w:val="00582982"/>
    <w:rsid w:val="00582DD3"/>
    <w:rsid w:val="00597CAC"/>
    <w:rsid w:val="005A0A64"/>
    <w:rsid w:val="005B02F1"/>
    <w:rsid w:val="005B208B"/>
    <w:rsid w:val="005B222B"/>
    <w:rsid w:val="005C5D3F"/>
    <w:rsid w:val="005D0981"/>
    <w:rsid w:val="005D30C2"/>
    <w:rsid w:val="005D6E39"/>
    <w:rsid w:val="005E43ED"/>
    <w:rsid w:val="005E4ADF"/>
    <w:rsid w:val="005E55DB"/>
    <w:rsid w:val="005F6758"/>
    <w:rsid w:val="005F73C5"/>
    <w:rsid w:val="00626C00"/>
    <w:rsid w:val="00627028"/>
    <w:rsid w:val="0063708A"/>
    <w:rsid w:val="00654CDE"/>
    <w:rsid w:val="00656A2F"/>
    <w:rsid w:val="00657E71"/>
    <w:rsid w:val="00661244"/>
    <w:rsid w:val="00661FFC"/>
    <w:rsid w:val="00686959"/>
    <w:rsid w:val="00690B83"/>
    <w:rsid w:val="0069393C"/>
    <w:rsid w:val="006B0451"/>
    <w:rsid w:val="006B0FEB"/>
    <w:rsid w:val="006C5CE8"/>
    <w:rsid w:val="006E0E7A"/>
    <w:rsid w:val="006E3848"/>
    <w:rsid w:val="006F2AF5"/>
    <w:rsid w:val="006F37EB"/>
    <w:rsid w:val="00707307"/>
    <w:rsid w:val="007118AF"/>
    <w:rsid w:val="00725F4A"/>
    <w:rsid w:val="007550C1"/>
    <w:rsid w:val="0076154B"/>
    <w:rsid w:val="007645F4"/>
    <w:rsid w:val="00766929"/>
    <w:rsid w:val="00774F8C"/>
    <w:rsid w:val="00775E4F"/>
    <w:rsid w:val="00780374"/>
    <w:rsid w:val="00785870"/>
    <w:rsid w:val="00786E38"/>
    <w:rsid w:val="00797F79"/>
    <w:rsid w:val="007A1E2B"/>
    <w:rsid w:val="007A599D"/>
    <w:rsid w:val="007B4B56"/>
    <w:rsid w:val="007B7338"/>
    <w:rsid w:val="007F1DBC"/>
    <w:rsid w:val="007F2B4F"/>
    <w:rsid w:val="007F368C"/>
    <w:rsid w:val="00836509"/>
    <w:rsid w:val="00841BDC"/>
    <w:rsid w:val="00842F97"/>
    <w:rsid w:val="00851071"/>
    <w:rsid w:val="0085558C"/>
    <w:rsid w:val="00872EAD"/>
    <w:rsid w:val="00894FA7"/>
    <w:rsid w:val="008A0FF9"/>
    <w:rsid w:val="008C0B94"/>
    <w:rsid w:val="008C0F6B"/>
    <w:rsid w:val="008D686F"/>
    <w:rsid w:val="008E1BAB"/>
    <w:rsid w:val="00905E6C"/>
    <w:rsid w:val="009076FA"/>
    <w:rsid w:val="00916237"/>
    <w:rsid w:val="00920E49"/>
    <w:rsid w:val="00944E21"/>
    <w:rsid w:val="009626EB"/>
    <w:rsid w:val="00967FD9"/>
    <w:rsid w:val="00976174"/>
    <w:rsid w:val="00990846"/>
    <w:rsid w:val="00990FA2"/>
    <w:rsid w:val="009A0DE0"/>
    <w:rsid w:val="009B2623"/>
    <w:rsid w:val="009C5CA0"/>
    <w:rsid w:val="009D3DE4"/>
    <w:rsid w:val="00A0263A"/>
    <w:rsid w:val="00A030F1"/>
    <w:rsid w:val="00A06A0E"/>
    <w:rsid w:val="00A33334"/>
    <w:rsid w:val="00A61C54"/>
    <w:rsid w:val="00A662E4"/>
    <w:rsid w:val="00A733F9"/>
    <w:rsid w:val="00A83CB6"/>
    <w:rsid w:val="00AB5041"/>
    <w:rsid w:val="00AB6597"/>
    <w:rsid w:val="00AB6DD3"/>
    <w:rsid w:val="00AD20E4"/>
    <w:rsid w:val="00AD441E"/>
    <w:rsid w:val="00AF5B99"/>
    <w:rsid w:val="00AF7F96"/>
    <w:rsid w:val="00B138B2"/>
    <w:rsid w:val="00B16D67"/>
    <w:rsid w:val="00B216B7"/>
    <w:rsid w:val="00B34BE4"/>
    <w:rsid w:val="00B52338"/>
    <w:rsid w:val="00B53626"/>
    <w:rsid w:val="00B57801"/>
    <w:rsid w:val="00B60ECA"/>
    <w:rsid w:val="00B70944"/>
    <w:rsid w:val="00B72F3D"/>
    <w:rsid w:val="00BA14A5"/>
    <w:rsid w:val="00BA14FB"/>
    <w:rsid w:val="00BB21B2"/>
    <w:rsid w:val="00BB2224"/>
    <w:rsid w:val="00BD11D1"/>
    <w:rsid w:val="00BD392C"/>
    <w:rsid w:val="00BE2ACF"/>
    <w:rsid w:val="00BF065E"/>
    <w:rsid w:val="00BF49CC"/>
    <w:rsid w:val="00C0455D"/>
    <w:rsid w:val="00C163F9"/>
    <w:rsid w:val="00C355B6"/>
    <w:rsid w:val="00C422AD"/>
    <w:rsid w:val="00C56584"/>
    <w:rsid w:val="00C626F8"/>
    <w:rsid w:val="00C67BC5"/>
    <w:rsid w:val="00C94A9C"/>
    <w:rsid w:val="00CA10E9"/>
    <w:rsid w:val="00CB26B3"/>
    <w:rsid w:val="00CB480D"/>
    <w:rsid w:val="00CC18DA"/>
    <w:rsid w:val="00CC573D"/>
    <w:rsid w:val="00CC6A52"/>
    <w:rsid w:val="00CD20C3"/>
    <w:rsid w:val="00CD68B9"/>
    <w:rsid w:val="00CD6D6A"/>
    <w:rsid w:val="00CE190A"/>
    <w:rsid w:val="00CE2DB8"/>
    <w:rsid w:val="00CE3A09"/>
    <w:rsid w:val="00CE699F"/>
    <w:rsid w:val="00CF4179"/>
    <w:rsid w:val="00D00EBA"/>
    <w:rsid w:val="00D03E02"/>
    <w:rsid w:val="00D063ED"/>
    <w:rsid w:val="00D078AF"/>
    <w:rsid w:val="00D255D4"/>
    <w:rsid w:val="00D26E18"/>
    <w:rsid w:val="00D47BB3"/>
    <w:rsid w:val="00D62212"/>
    <w:rsid w:val="00D7305B"/>
    <w:rsid w:val="00DA4E40"/>
    <w:rsid w:val="00DA4F8B"/>
    <w:rsid w:val="00DB6FBC"/>
    <w:rsid w:val="00DC18B1"/>
    <w:rsid w:val="00DC7ACD"/>
    <w:rsid w:val="00DE66F6"/>
    <w:rsid w:val="00DF5B47"/>
    <w:rsid w:val="00DF5D0F"/>
    <w:rsid w:val="00E00D51"/>
    <w:rsid w:val="00E022F2"/>
    <w:rsid w:val="00E033C7"/>
    <w:rsid w:val="00E05CF3"/>
    <w:rsid w:val="00E13EB7"/>
    <w:rsid w:val="00E15751"/>
    <w:rsid w:val="00E26363"/>
    <w:rsid w:val="00E3210F"/>
    <w:rsid w:val="00E43560"/>
    <w:rsid w:val="00E43A77"/>
    <w:rsid w:val="00E46E14"/>
    <w:rsid w:val="00E506E3"/>
    <w:rsid w:val="00E55EAC"/>
    <w:rsid w:val="00E56B11"/>
    <w:rsid w:val="00E64C36"/>
    <w:rsid w:val="00E67077"/>
    <w:rsid w:val="00E71258"/>
    <w:rsid w:val="00E727BB"/>
    <w:rsid w:val="00E75E67"/>
    <w:rsid w:val="00E83EE8"/>
    <w:rsid w:val="00E84B81"/>
    <w:rsid w:val="00E862F8"/>
    <w:rsid w:val="00E93D95"/>
    <w:rsid w:val="00E945A5"/>
    <w:rsid w:val="00EA401E"/>
    <w:rsid w:val="00EC3D98"/>
    <w:rsid w:val="00EE0DDF"/>
    <w:rsid w:val="00EE49C5"/>
    <w:rsid w:val="00EE7DAD"/>
    <w:rsid w:val="00F045B4"/>
    <w:rsid w:val="00F25166"/>
    <w:rsid w:val="00F459E7"/>
    <w:rsid w:val="00F55A0D"/>
    <w:rsid w:val="00F607FB"/>
    <w:rsid w:val="00F7323C"/>
    <w:rsid w:val="00F81758"/>
    <w:rsid w:val="00F839A7"/>
    <w:rsid w:val="00F91ADE"/>
    <w:rsid w:val="00F931CC"/>
    <w:rsid w:val="00FA4D3E"/>
    <w:rsid w:val="00FA7EA6"/>
    <w:rsid w:val="00FB40B9"/>
    <w:rsid w:val="00FB5E36"/>
    <w:rsid w:val="00FB7167"/>
    <w:rsid w:val="00FC5742"/>
    <w:rsid w:val="00FE39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7F17"/>
  <w15:chartTrackingRefBased/>
  <w15:docId w15:val="{B0536D18-EC60-DB4D-A5BC-FF3AD61C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55"/>
  </w:style>
  <w:style w:type="paragraph" w:styleId="Heading1">
    <w:name w:val="heading 1"/>
    <w:basedOn w:val="Normal"/>
    <w:next w:val="Normal"/>
    <w:link w:val="Heading1Char"/>
    <w:uiPriority w:val="9"/>
    <w:qFormat/>
    <w:rsid w:val="00C04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55D"/>
    <w:rPr>
      <w:rFonts w:eastAsiaTheme="majorEastAsia" w:cstheme="majorBidi"/>
      <w:color w:val="272727" w:themeColor="text1" w:themeTint="D8"/>
    </w:rPr>
  </w:style>
  <w:style w:type="paragraph" w:styleId="Title">
    <w:name w:val="Title"/>
    <w:basedOn w:val="Normal"/>
    <w:next w:val="Normal"/>
    <w:link w:val="TitleChar"/>
    <w:uiPriority w:val="10"/>
    <w:qFormat/>
    <w:rsid w:val="00C04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55D"/>
    <w:pPr>
      <w:spacing w:before="160"/>
      <w:jc w:val="center"/>
    </w:pPr>
    <w:rPr>
      <w:i/>
      <w:iCs/>
      <w:color w:val="404040" w:themeColor="text1" w:themeTint="BF"/>
    </w:rPr>
  </w:style>
  <w:style w:type="character" w:customStyle="1" w:styleId="QuoteChar">
    <w:name w:val="Quote Char"/>
    <w:basedOn w:val="DefaultParagraphFont"/>
    <w:link w:val="Quote"/>
    <w:uiPriority w:val="29"/>
    <w:rsid w:val="00C0455D"/>
    <w:rPr>
      <w:i/>
      <w:iCs/>
      <w:color w:val="404040" w:themeColor="text1" w:themeTint="BF"/>
    </w:rPr>
  </w:style>
  <w:style w:type="paragraph" w:styleId="ListParagraph">
    <w:name w:val="List Paragraph"/>
    <w:basedOn w:val="Normal"/>
    <w:uiPriority w:val="34"/>
    <w:qFormat/>
    <w:rsid w:val="00C0455D"/>
    <w:pPr>
      <w:ind w:left="720"/>
      <w:contextualSpacing/>
    </w:pPr>
  </w:style>
  <w:style w:type="character" w:styleId="IntenseEmphasis">
    <w:name w:val="Intense Emphasis"/>
    <w:basedOn w:val="DefaultParagraphFont"/>
    <w:uiPriority w:val="21"/>
    <w:qFormat/>
    <w:rsid w:val="00C0455D"/>
    <w:rPr>
      <w:i/>
      <w:iCs/>
      <w:color w:val="0F4761" w:themeColor="accent1" w:themeShade="BF"/>
    </w:rPr>
  </w:style>
  <w:style w:type="paragraph" w:styleId="IntenseQuote">
    <w:name w:val="Intense Quote"/>
    <w:basedOn w:val="Normal"/>
    <w:next w:val="Normal"/>
    <w:link w:val="IntenseQuoteChar"/>
    <w:uiPriority w:val="30"/>
    <w:qFormat/>
    <w:rsid w:val="00C04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55D"/>
    <w:rPr>
      <w:i/>
      <w:iCs/>
      <w:color w:val="0F4761" w:themeColor="accent1" w:themeShade="BF"/>
    </w:rPr>
  </w:style>
  <w:style w:type="character" w:styleId="IntenseReference">
    <w:name w:val="Intense Reference"/>
    <w:basedOn w:val="DefaultParagraphFont"/>
    <w:uiPriority w:val="32"/>
    <w:qFormat/>
    <w:rsid w:val="00C0455D"/>
    <w:rPr>
      <w:b/>
      <w:bCs/>
      <w:smallCaps/>
      <w:color w:val="0F4761" w:themeColor="accent1" w:themeShade="BF"/>
      <w:spacing w:val="5"/>
    </w:rPr>
  </w:style>
  <w:style w:type="character" w:styleId="Hyperlink">
    <w:name w:val="Hyperlink"/>
    <w:basedOn w:val="DefaultParagraphFont"/>
    <w:uiPriority w:val="99"/>
    <w:unhideWhenUsed/>
    <w:rsid w:val="00213032"/>
    <w:rPr>
      <w:color w:val="467886" w:themeColor="hyperlink"/>
      <w:u w:val="single"/>
    </w:rPr>
  </w:style>
  <w:style w:type="character" w:styleId="UnresolvedMention">
    <w:name w:val="Unresolved Mention"/>
    <w:basedOn w:val="DefaultParagraphFont"/>
    <w:uiPriority w:val="99"/>
    <w:semiHidden/>
    <w:unhideWhenUsed/>
    <w:rsid w:val="00213032"/>
    <w:rPr>
      <w:color w:val="605E5C"/>
      <w:shd w:val="clear" w:color="auto" w:fill="E1DFDD"/>
    </w:rPr>
  </w:style>
  <w:style w:type="character" w:styleId="FollowedHyperlink">
    <w:name w:val="FollowedHyperlink"/>
    <w:basedOn w:val="DefaultParagraphFont"/>
    <w:uiPriority w:val="99"/>
    <w:semiHidden/>
    <w:unhideWhenUsed/>
    <w:rsid w:val="00DC7ACD"/>
    <w:rPr>
      <w:color w:val="96607D" w:themeColor="followedHyperlink"/>
      <w:u w:val="single"/>
    </w:rPr>
  </w:style>
  <w:style w:type="paragraph" w:styleId="NormalWeb">
    <w:name w:val="Normal (Web)"/>
    <w:basedOn w:val="Normal"/>
    <w:uiPriority w:val="99"/>
    <w:unhideWhenUsed/>
    <w:rsid w:val="00E00D5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46"/>
  </w:style>
  <w:style w:type="character" w:styleId="PageNumber">
    <w:name w:val="page number"/>
    <w:basedOn w:val="DefaultParagraphFont"/>
    <w:uiPriority w:val="99"/>
    <w:semiHidden/>
    <w:unhideWhenUsed/>
    <w:rsid w:val="00990846"/>
  </w:style>
  <w:style w:type="table" w:styleId="TableGrid">
    <w:name w:val="Table Grid"/>
    <w:basedOn w:val="TableNormal"/>
    <w:uiPriority w:val="39"/>
    <w:rsid w:val="004B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B26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471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5709">
      <w:bodyDiv w:val="1"/>
      <w:marLeft w:val="0"/>
      <w:marRight w:val="0"/>
      <w:marTop w:val="0"/>
      <w:marBottom w:val="0"/>
      <w:divBdr>
        <w:top w:val="none" w:sz="0" w:space="0" w:color="auto"/>
        <w:left w:val="none" w:sz="0" w:space="0" w:color="auto"/>
        <w:bottom w:val="none" w:sz="0" w:space="0" w:color="auto"/>
        <w:right w:val="none" w:sz="0" w:space="0" w:color="auto"/>
      </w:divBdr>
    </w:div>
    <w:div w:id="522090830">
      <w:bodyDiv w:val="1"/>
      <w:marLeft w:val="0"/>
      <w:marRight w:val="0"/>
      <w:marTop w:val="0"/>
      <w:marBottom w:val="0"/>
      <w:divBdr>
        <w:top w:val="none" w:sz="0" w:space="0" w:color="auto"/>
        <w:left w:val="none" w:sz="0" w:space="0" w:color="auto"/>
        <w:bottom w:val="none" w:sz="0" w:space="0" w:color="auto"/>
        <w:right w:val="none" w:sz="0" w:space="0" w:color="auto"/>
      </w:divBdr>
    </w:div>
    <w:div w:id="781075694">
      <w:bodyDiv w:val="1"/>
      <w:marLeft w:val="0"/>
      <w:marRight w:val="0"/>
      <w:marTop w:val="0"/>
      <w:marBottom w:val="0"/>
      <w:divBdr>
        <w:top w:val="none" w:sz="0" w:space="0" w:color="auto"/>
        <w:left w:val="none" w:sz="0" w:space="0" w:color="auto"/>
        <w:bottom w:val="none" w:sz="0" w:space="0" w:color="auto"/>
        <w:right w:val="none" w:sz="0" w:space="0" w:color="auto"/>
      </w:divBdr>
    </w:div>
    <w:div w:id="1209758015">
      <w:bodyDiv w:val="1"/>
      <w:marLeft w:val="0"/>
      <w:marRight w:val="0"/>
      <w:marTop w:val="0"/>
      <w:marBottom w:val="0"/>
      <w:divBdr>
        <w:top w:val="none" w:sz="0" w:space="0" w:color="auto"/>
        <w:left w:val="none" w:sz="0" w:space="0" w:color="auto"/>
        <w:bottom w:val="none" w:sz="0" w:space="0" w:color="auto"/>
        <w:right w:val="none" w:sz="0" w:space="0" w:color="auto"/>
      </w:divBdr>
    </w:div>
    <w:div w:id="1588996193">
      <w:bodyDiv w:val="1"/>
      <w:marLeft w:val="0"/>
      <w:marRight w:val="0"/>
      <w:marTop w:val="0"/>
      <w:marBottom w:val="0"/>
      <w:divBdr>
        <w:top w:val="none" w:sz="0" w:space="0" w:color="auto"/>
        <w:left w:val="none" w:sz="0" w:space="0" w:color="auto"/>
        <w:bottom w:val="none" w:sz="0" w:space="0" w:color="auto"/>
        <w:right w:val="none" w:sz="0" w:space="0" w:color="auto"/>
      </w:divBdr>
    </w:div>
    <w:div w:id="1598555436">
      <w:bodyDiv w:val="1"/>
      <w:marLeft w:val="0"/>
      <w:marRight w:val="0"/>
      <w:marTop w:val="0"/>
      <w:marBottom w:val="0"/>
      <w:divBdr>
        <w:top w:val="none" w:sz="0" w:space="0" w:color="auto"/>
        <w:left w:val="none" w:sz="0" w:space="0" w:color="auto"/>
        <w:bottom w:val="none" w:sz="0" w:space="0" w:color="auto"/>
        <w:right w:val="none" w:sz="0" w:space="0" w:color="auto"/>
      </w:divBdr>
    </w:div>
    <w:div w:id="1681272807">
      <w:bodyDiv w:val="1"/>
      <w:marLeft w:val="0"/>
      <w:marRight w:val="0"/>
      <w:marTop w:val="0"/>
      <w:marBottom w:val="0"/>
      <w:divBdr>
        <w:top w:val="none" w:sz="0" w:space="0" w:color="auto"/>
        <w:left w:val="none" w:sz="0" w:space="0" w:color="auto"/>
        <w:bottom w:val="none" w:sz="0" w:space="0" w:color="auto"/>
        <w:right w:val="none" w:sz="0" w:space="0" w:color="auto"/>
      </w:divBdr>
    </w:div>
    <w:div w:id="1706828138">
      <w:bodyDiv w:val="1"/>
      <w:marLeft w:val="0"/>
      <w:marRight w:val="0"/>
      <w:marTop w:val="0"/>
      <w:marBottom w:val="0"/>
      <w:divBdr>
        <w:top w:val="none" w:sz="0" w:space="0" w:color="auto"/>
        <w:left w:val="none" w:sz="0" w:space="0" w:color="auto"/>
        <w:bottom w:val="none" w:sz="0" w:space="0" w:color="auto"/>
        <w:right w:val="none" w:sz="0" w:space="0" w:color="auto"/>
      </w:divBdr>
    </w:div>
    <w:div w:id="19133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rchives.gov/electoral-college/alloc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lection.lab.ufl.edu/dataset/national-vep-turnout-rates-1789-present-v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economic-census/guidance-geographies/level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airvote.org/resources/voter-turn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7</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 W</dc:creator>
  <cp:keywords/>
  <dc:description/>
  <cp:lastModifiedBy>Kaylan W</cp:lastModifiedBy>
  <cp:revision>305</cp:revision>
  <cp:lastPrinted>2024-04-15T09:47:00Z</cp:lastPrinted>
  <dcterms:created xsi:type="dcterms:W3CDTF">2024-02-19T00:35:00Z</dcterms:created>
  <dcterms:modified xsi:type="dcterms:W3CDTF">2024-04-15T09:48:00Z</dcterms:modified>
</cp:coreProperties>
</file>