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Arial" w:cs="Arial" w:eastAsia="Arial" w:hAnsi="Arial"/>
        </w:rPr>
        <w:t xml:space="preserve">CARO clause and sub-clause titles</w:t>
      </w:r>
    </w:p>
    <w:p>
      <w:pPr>
        <w:spacing w:after="120"/>
      </w:pPr>
      <w:r>
        <w:rPr>
          <w:rFonts w:ascii="Arial" w:cs="Arial" w:eastAsia="Arial" w:hAnsi="Arial"/>
          <w:sz w:val="20"/>
          <w:szCs w:val="20"/>
        </w:rPr>
        <w:t xml:space="preserve">Metis Intellisystems — CARO extraction. Titles as used in the JSON output field "sub_clause_title" and the main clause title, from caro_clause_map.json (version 2026-10-10-ca2, patch 12-Oct-2026, T01). Prepared 13-Oct-2026.</w:t>
      </w:r>
    </w:p>
    <w:p>
      <w:pPr>
        <w:spacing w:after="120"/>
      </w:pPr>
      <w:r>
        <w:rPr>
          <w:rFonts w:ascii="Arial" w:cs="Arial" w:eastAsia="Arial" w:hAnsi="Arial"/>
          <w:sz w:val="20"/>
          <w:szCs w:val="20"/>
        </w:rPr>
        <w:t xml:space="preserve">CARO 2020 order: 21 main clauses, 39 sub-clauses. CARO 2016 order: 16 main clauses, 8 sub-clauses. A main clause with sub-clauses takes the label of its worst sub-clause (roll-up).</w:t>
      </w:r>
    </w:p>
    <w:p>
      <w:pPr>
        <w:pStyle w:val="Heading1"/>
        <w:spacing w:after="120" w:before="240"/>
      </w:pPr>
      <w:r>
        <w:rPr>
          <w:rFonts w:ascii="Arial" w:cs="Arial" w:eastAsia="Arial" w:hAnsi="Arial"/>
        </w:rPr>
        <w:t xml:space="preserve">1. CARO 2020 (Companies (Auditor's Report) Order, 2020)</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500"/>
        <w:gridCol w:w="3000"/>
        <w:gridCol w:w="516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Main clause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Main clause title</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Sub-clause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Sub-clause title</w:t>
            </w:r>
          </w:p>
        </w:tc>
        <w:tc>
          <w:tcPr>
            <w:tcW w:type="dxa" w:w="51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What the auditor reports (CARO question)</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Property, plant and equipment and intangible assets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(i)(a)(A)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Records of property, plant and equipment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proper records are maintained showing full particulars, including quantitative details and situation, of Property, Plant and Equipment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(i)(a)(B)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Records of intangible assets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proper records are maintained showing full particulars of intangible assets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Physical verification of property, plant and equipment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PPE have been physically verified by management at reasonable intervals; whether material discrepancies were noticed and properly dealt with in the books of account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Title deeds of immovable properties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title deeds of all immovable properties (other than those where the company is the lessee with a duly executed lease agreement) are held in the name of the company; if not, details of the property, holder, value, relationship, period held, and dispute status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Revaluation of property, plant and equipment / intangible assets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revalued its PPE (including Right of Use assets) or intangible assets during the year; if so, whether based on a Registered Valuer, and whether the change is 10% or more of the aggregate net carrying value of each asset class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Benami property proceedings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any proceedings have been initiated or are pending against the company for holding benami property under the Benami Transactions (Prohibition) Act, 1988, and whether appropriately disclosed in the financial statements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Inventory and working capital</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Physical verification of inventory</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physical verification of inventory was conducted at reasonable intervals; whether the coverage/procedure was appropriate; whether discrepancies of 10% or more in aggregate for any class of inventory were noticed and properly dealt with in the books of account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Working capital limits above Rs 5 crore - quarterly returns vs books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was sanctioned working capital limits in excess of five crore rupees, in aggregate, from banks/financial institutions on the basis of security of current assets; whether the quarterly returns/statements filed with such banks/institutions agree with the books of account; if not, give details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Investments, guarantees, security and loans/advances granted</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(iii)(a)(A)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Loans, advances, guarantees and security to subsidiaries, joint ventures and associates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Aggregate amount during the year, and balance outstanding at the balance sheet date, of loans/advances in the nature of loans/guarantees/security to SUBSIDIARIES, JOINT VENTURES and ASSOCIATES [Order: (iii)(a) does not apply to a company whose principal business is to give loans]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(iii)(a)(B)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Loans, advances, guarantees and security to other parties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Aggregate amount during the year, and balance outstanding at the balance sheet date, of loans/advances in the nature of loans/guarantees/security to parties OTHER THAN subsidiaries, joint ventures and associates [Order: (iii)(a) does not apply to a company whose principal business is to give loans]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Terms of investments, guarantees, security and loans - not prejudicial</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investments made, guarantees provided, security given, and the terms/conditions of loans and advances granted are not prejudicial to the company's interest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Repayment schedule and regularity of repayments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In respect of loans/advances in the nature of loans, whether the schedule of repayment of principal and payment of interest has been stipulated, and whether repayments/receipts are regular</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Amounts overdue for more than 90 days and recovery steps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If any amount is overdue, the total amount overdue for more than ninety days, and whether reasonable steps have been taken by the company for recovery of principal and interest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Loans renewed, extended or replaced to settle overdues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any loan/advance in the nature of a loan that fell due during the year was renewed/extended, or fresh loans granted to settle overdues of existing loans to the same parties; aggregate amount and percentage of total loans/advances so renewed/extended/settled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Loans repayable on demand or without repayment terms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granted loans/advances in the nature of loans either repayable on demand or without specifying any terms or period of repayment; aggregate amount, percentage of total loans granted, and amount granted to Promoters or related parties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Loans/investments/guarantees/security under sections 185 and 186</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provisions of sections 185 and 186 have been complied with in respect of loans, investments, guarantees and security; if not, details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Deposits (sections 73 to 76)</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deposits / deemed deposits accepted comply with RBI directives and sections 73–76 and the rules; any order of CLB / NCLT / RBI / court complied with</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Maintenance of cost records (section 148)</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cost records specified by the Central Government under section 148(1) have been made and maintained</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Statutory dues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(vii)(a)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Regularity in depositing undisputed statutory dues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regular in depositing undisputed statutory dues (GST, provident fund, ESI, income-tax, sales-tax, service tax, customs duty, excise duty, VAT, cess, and other statutory dues); extent of arrears outstanding for more than six months as on the last day of the financial year</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(vii)(b)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Statutory dues not deposited on account of disputes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Where statutory dues referred to in (vii)(a) have not been deposited on account of a dispute, the amount involved and the forum where the dispute is pending (a mere representation to the department is NOT treated as a dispute)</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Unrecorded / surrendered income</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any transactions not recorded in the books were surrendered or disclosed as income in tax assessments (search / survey) under the Income-tax Act, and whether properly recorded in the books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Default in repayment of borrowings; utilisation of funds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Default in repayment of loans or interest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has defaulted in repayment of loans/other borrowings or in payment of interest to any lender; if so, the period and amount of default (lender-wise for banks/FIs/Government)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Wilful defaulter declaration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a declared wilful defaulter by any bank/financial institution/other lender</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Application of term loans for the stated purpose</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term loans were applied for the purpose for which they were obtained; if not, the amount of loan diverted and the purpose for which it was used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Short-term funds used for long-term purposes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funds raised on a short-term basis have been utilised for long-term purposes; if yes, the nature and amount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Funds taken to meet obligations of subsidiaries, associates or joint ventures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took funds from any entity/person to meet the obligations of its subsidiaries, associates, or joint ventures; details and amount in each case</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(ix)(f)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Loans raised on pledge of securities of subsidiaries, joint ventures or associates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raised loans during the year on the pledge of securities held in its subsidiaries/joint ventures/associate companies; details, and whether it defaulted in repayment of such loans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Funds raised — IPO/FPO, preferential allotment / private placement</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Utilisation of IPO/FPO proceeds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moneys raised by initial public offer or further public offer (including debt instruments) during the year were applied for the purposes for which they were raised; if not, details of delays or default and subsequent rectification</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Preferential allotment / private placement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made any preferential allotment or private placement of shares or convertible debentures during the year; if so, whether sections 42 and 62 of the Companies Act were complied with and the funds used for the stated purpose; details of amount and nature of non-compliance if not</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Fraud, ADT-4 reporting, whistle-blower complaints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Fraud by or on the company</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any fraud by the company or on the company has been noticed or reported during the year; nature and amount involved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Report under section 143(12) in Form ADT-4</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any report under section 143(12) of the Companies Act has been filed by the auditor in Form ADT-4 with the Central Government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Whistle-blower complaints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auditor has considered whistle-blower complaints, if any, received during the year by the company</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Nidhi company</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Nidhi company - net owned funds to deposits ratio (1:20)</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Nidhi Company has complied with the Net Owned Funds to Deposits ratio of 1:20</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Nidhi company - 10% unencumbered term deposits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Nidhi Company is maintaining 10% unencumbered term deposits as specified in the Nidhi Rules, 2014</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Nidhi company - default in interest or repayment of deposits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there has been any default in payment of interest on deposits or repayment thereof, and details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Related party transactions (sections 177 and 188)</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transactions with related parties comply with sections 177 and 188 and are disclosed in the financial statements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Internal audit system</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(xiv)(a)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Internal audit system commensurate with size and business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has an internal audit system commensurate with the size and nature of its business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(xiv)(b)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Internal audit reports considered by the auditor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reports of the Internal Auditors for the period under audit were considered by the statutory auditor</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Non-cash transactions with directors (section 192)</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the company entered into non-cash transactions with directors or persons connected with them, and whether section 192 was complied with</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Registration under section 45-IA RBI Act / NBFC matters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(xvi)(a)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Registration under section 45-IA of the RBI Act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required to be registered under section 45-IA of the RBI Act, 1934, and if so, whether registration has been obtained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(xvi)(b)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NBFC / housing finance activity without valid registration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conducted any Non-Banking Financial or Housing Finance activities without a valid Certificate of Registration (CoR) from the RBI</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(xvi)(c)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Core Investment Company (CIC) criteria</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a Core Investment Company (CIC); if so, whether it continues to fulfil CIC criteria (or, if an exempted or unregistered CIC, whether it continues to fulfil such criteria)</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(xvi)(d)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Number of CICs in the group</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Group has more than one CIC as part of the Group; if yes, the number of CICs which are part of the Group</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Cash losses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the company incurred cash losses in the financial year and the immediately preceding financial year; amount of cash losses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Resignation of statutory auditors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there was any resignation of the statutory auditors during the year; whether the issues, objections or concerns raised by the outgoing auditors were taken into consideration</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Material uncertainty on going concern</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On the basis of financial ratios, ageing and expected dates of realisation of financial assets and payment of liabilities, whether any material uncertainty exists as to the company being capable of meeting its liabilities existing at the balance sheet date as and when they fall due within one year</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Transfer of unspent CSR amount</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(xx)(a)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Unspent CSR (other than ongoing projects) - transfer to Schedule VII fund</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for OTHER THAN ongoing CSR projects, the company transferred the unspent amount to a Fund specified in Schedule VII within six months of the expiry of the financial year, per the second proviso to section 135(5)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(xx)(b)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Unspent CSR on ongoing projects - transfer to special account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any amount remaining unspent under section 135(5) for an ONGOING CSR project has been transferred to a special account in compliance with section 135(6)</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(xxi)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Qualifications/adverse remarks in consolidated financial statements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Whether there were any qualifications or adverse remarks by the respective auditors in the CARO reports of companies included in the consolidated financial statements; if so, the companies and clauses</w:t>
            </w:r>
          </w:p>
        </w:tc>
      </w:tr>
    </w:tbl>
    <w:p>
      <w:pPr>
        <w:pageBreakBefore/>
      </w:pPr>
    </w:p>
    <w:p>
      <w:pPr>
        <w:pStyle w:val="Heading1"/>
        <w:spacing w:after="120" w:before="240"/>
      </w:pPr>
      <w:r>
        <w:rPr>
          <w:rFonts w:ascii="Arial" w:cs="Arial" w:eastAsia="Arial" w:hAnsi="Arial"/>
        </w:rPr>
        <w:t xml:space="preserve">2. CARO 2016 (Companies (Auditor's Report) Order, 2016)</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500"/>
        <w:gridCol w:w="3000"/>
        <w:gridCol w:w="516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Main clause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Main clause title</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Sub-clause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Sub-clause title</w:t>
            </w:r>
          </w:p>
        </w:tc>
        <w:tc>
          <w:tcPr>
            <w:tcW w:type="dxa" w:w="51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What the auditor reports (CARO question)</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Fixed assets — records, physical verification and title deeds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Records of fixed assets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maintaining proper records showing full particulars, including quantitative details and situation, of fixed assets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Physical verification of fixed assets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fixed assets have been physically verified by the management at reasonable intervals; whether any material discrepancies were noticed and if so whether properly dealt with in the books of account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Title deeds of immovable properties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title deeds of immovable properties are held in the name of the company; if not, details thereof</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Inventory — physical verification</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Inventory — physical verification</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Loans granted to parties covered under section 189</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Terms of loans to section 189 parties - not prejudicial</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terms and conditions of loans granted to parties covered in the register maintained under section 189 are prejudicial to the company's interest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Repayment schedule and regularity of repayments (section 189 loans)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schedule of repayment of principal and payment of interest has been stipulated and whether repayments or receipts are regular</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(iii)(c)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Amounts overdue for more than 90 days (section 189 loans)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If the amount is overdue, the total amount overdue for more than ninety days and whether reasonable steps have been taken for recovery</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Loans, investments, guarantees and security (sections 185 and 186)</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Loans, investments, guarantees and security (sections 185 and 186)</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Deposits accepted from the public (sections 73 to 76)</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Deposits accepted from the public (sections 73 to 76)</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Maintenance of cost records (section 148(1))</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Maintenance of cost records (section 148(1))</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Statutory dues — undisputed and disputed</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Label = worst sub-clause</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(vii)(a)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Regularity in depositing undisputed statutory dues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Whether the company is regular in depositing undisputed statutory dues including provident fund, employees' state insurance, income-tax, sales-tax, service tax, duty of customs, duty of excise, value added tax, GST, cess and any other statutory dues; and arrears outstanding for more than six months from the date they became payable. NOTE: CARO 2016 covers FY2015-16 through FY2020-21, spanning the 1 July 2017 GST rollout - sales tax, service tax, VAT and excise duty were largely replaced by GST from that date, so a filing from FY2017-18 onward will typically report GST dues here even though GST post-dates the Order's own 2016 text</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(vii)(b)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Statutory dues not deposited on account of disputes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7"/>
                <w:szCs w:val="17"/>
              </w:rPr>
              <w:t xml:space="preserve">Where dues of income tax, sales tax, service tax, duty of customs, duty of excise, value added tax or GST have not been deposited on account of any dispute, the amounts involved and the forum where the dispute is pending (GST applies to filings from FY2017-18 onward - see the note under (vii)(a))</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(viii)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Default in repayment of loans or borrowings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Default in repayment of loans or borrowings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(ix)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Application of money raised by public offer and term loans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Application of money raised by public offer and term loans. Judge both halves: not applicable only when the auditor says there was NO public offer AND NO term loans; term loans applied for their purpose = favourable even with no public offer.</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Fraud by the company or on the company</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Fraud by the company or on the company</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Managerial remuneration (section 197 read with Schedule V)</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Managerial remuneration (section 197 read with Schedule V)</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Nidhi company — net owned funds and unencumbered term deposits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Nidhi company — net owned funds and unencumbered term deposits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(xiii)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Related party transactions (sections 177 and 188)</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Related party transactions (sections 177 and 188)</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(xiv)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Preferential allotment or private placement of shares/debentures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Preferential allotment or private placement of shares/debentures</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Non-cash transactions with directors (section 192)</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Non-cash transactions with directors (section 192)</w:t>
            </w:r>
          </w:p>
        </w:tc>
      </w:tr>
      <w:tr>
        <w:tc>
          <w:tcPr>
            <w:tcW w:type="dxa" w:w="13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(xvi)</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bCs/>
                <w:sz w:val="19"/>
                <w:szCs w:val="19"/>
              </w:rPr>
              <w:t xml:space="preserve">Registration under section 45-IA of the Reserve Bank of India Act</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color w:val="555555"/>
                <w:sz w:val="19"/>
                <w:szCs w:val="19"/>
              </w:rPr>
              <w:t xml:space="preserve">No sub-clauses; judged as one unit</w:t>
            </w:r>
          </w:p>
        </w:tc>
        <w:tc>
          <w:tcPr>
            <w:tcW w:type="dxa" w:w="51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rFonts w:ascii="Arial" w:cs="Arial" w:eastAsia="Arial" w:hAnsi="Arial"/>
                <w:b w:val="false"/>
                <w:bCs w:val="false"/>
                <w:sz w:val="17"/>
                <w:szCs w:val="17"/>
              </w:rPr>
              <w:t xml:space="preserve">Registration under section 45-IA of the Reserve Bank of India Act</w:t>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2026-10-12T18:36:36.076Z</dcterms:created>
  <dcterms:modified xsi:type="dcterms:W3CDTF">2026-10-12T18:36:36.076Z</dcterms:modified>
</cp:coreProperties>
</file>

<file path=docProps/custom.xml><?xml version="1.0" encoding="utf-8"?>
<Properties xmlns="http://schemas.openxmlformats.org/officeDocument/2006/custom-properties" xmlns:vt="http://schemas.openxmlformats.org/officeDocument/2006/docPropsVTypes"/>
</file>