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A0BC" w14:textId="77777777" w:rsidR="00E237FE" w:rsidRDefault="004E65BF">
      <w:pPr>
        <w:spacing w:after="141" w:line="259" w:lineRule="auto"/>
        <w:ind w:left="30" w:firstLine="0"/>
        <w:jc w:val="center"/>
      </w:pPr>
      <w:r>
        <w:rPr>
          <w:b/>
          <w:color w:val="E76F51"/>
          <w:sz w:val="24"/>
        </w:rPr>
        <w:t>PROJET DE FIN DE STAGE</w:t>
      </w:r>
    </w:p>
    <w:p w14:paraId="6A7349A6" w14:textId="77777777" w:rsidR="00E237FE" w:rsidRDefault="004E65BF">
      <w:pPr>
        <w:spacing w:after="781" w:line="259" w:lineRule="auto"/>
        <w:ind w:left="28" w:firstLine="0"/>
        <w:jc w:val="center"/>
      </w:pPr>
      <w:proofErr w:type="spellStart"/>
      <w:r>
        <w:rPr>
          <w:color w:val="595959"/>
          <w:sz w:val="22"/>
        </w:rPr>
        <w:t>Capstone</w:t>
      </w:r>
      <w:proofErr w:type="spellEnd"/>
      <w:r>
        <w:rPr>
          <w:color w:val="595959"/>
          <w:sz w:val="22"/>
        </w:rPr>
        <w:t xml:space="preserve"> Data Analytics — Semaine 8</w:t>
      </w:r>
    </w:p>
    <w:p w14:paraId="63DD6129" w14:textId="77777777" w:rsidR="00E237FE" w:rsidRDefault="004E65BF">
      <w:pPr>
        <w:pStyle w:val="Heading1"/>
      </w:pPr>
      <w:r>
        <w:t>Éducation en Afrique</w:t>
      </w:r>
    </w:p>
    <w:p w14:paraId="3EE54566" w14:textId="77777777" w:rsidR="00E237FE" w:rsidRDefault="004E65BF">
      <w:pPr>
        <w:spacing w:after="574" w:line="259" w:lineRule="auto"/>
        <w:ind w:left="931" w:firstLine="0"/>
      </w:pPr>
      <w:r>
        <w:rPr>
          <w:color w:val="1F4E78"/>
          <w:sz w:val="30"/>
        </w:rPr>
        <w:t>Analyse des Indicateurs de Développement Mondial (WDI)</w:t>
      </w:r>
    </w:p>
    <w:p w14:paraId="7CA43C48" w14:textId="77777777" w:rsidR="00E237FE" w:rsidRDefault="004E65BF">
      <w:pPr>
        <w:spacing w:after="1335" w:line="259" w:lineRule="auto"/>
        <w:ind w:left="6" w:firstLine="0"/>
        <w:jc w:val="center"/>
      </w:pPr>
      <w:r>
        <w:rPr>
          <w:i/>
          <w:color w:val="595959"/>
          <w:sz w:val="22"/>
        </w:rPr>
        <w:t>Alphabétisation, scolarisation et investissement public dans 54 pays africains</w:t>
      </w:r>
    </w:p>
    <w:p w14:paraId="43A99B61" w14:textId="77777777" w:rsidR="00E237FE" w:rsidRPr="00DF274B" w:rsidRDefault="004E65BF">
      <w:pPr>
        <w:spacing w:after="3" w:line="259" w:lineRule="auto"/>
        <w:ind w:left="41" w:right="2"/>
        <w:jc w:val="center"/>
        <w:rPr>
          <w:lang w:val="en-US"/>
        </w:rPr>
      </w:pPr>
      <w:r w:rsidRPr="00DF274B">
        <w:rPr>
          <w:color w:val="595959"/>
          <w:sz w:val="19"/>
          <w:lang w:val="en-US"/>
        </w:rPr>
        <w:t xml:space="preserve">Source des </w:t>
      </w:r>
      <w:proofErr w:type="gramStart"/>
      <w:r w:rsidRPr="00DF274B">
        <w:rPr>
          <w:color w:val="595959"/>
          <w:sz w:val="19"/>
          <w:lang w:val="en-US"/>
        </w:rPr>
        <w:t>données :</w:t>
      </w:r>
      <w:proofErr w:type="gramEnd"/>
      <w:r w:rsidRPr="00DF274B">
        <w:rPr>
          <w:color w:val="595959"/>
          <w:sz w:val="19"/>
          <w:lang w:val="en-US"/>
        </w:rPr>
        <w:t xml:space="preserve"> World Bank — World Development Indicators (WDI)</w:t>
      </w:r>
    </w:p>
    <w:p w14:paraId="5CBAB094" w14:textId="77777777" w:rsidR="00E237FE" w:rsidRPr="00DF274B" w:rsidRDefault="004E65BF">
      <w:pPr>
        <w:spacing w:after="869" w:line="259" w:lineRule="auto"/>
        <w:ind w:left="862" w:firstLine="0"/>
        <w:rPr>
          <w:lang w:val="en-US"/>
        </w:rPr>
      </w:pPr>
      <w:r w:rsidRPr="00DF274B">
        <w:rPr>
          <w:color w:val="595959"/>
          <w:sz w:val="19"/>
          <w:lang w:val="en-US"/>
        </w:rPr>
        <w:t xml:space="preserve">UNESCO Institute for Statistics · FMI (World Economic Outlook) · Nations </w:t>
      </w:r>
      <w:proofErr w:type="spellStart"/>
      <w:r w:rsidRPr="00DF274B">
        <w:rPr>
          <w:color w:val="595959"/>
          <w:sz w:val="19"/>
          <w:lang w:val="en-US"/>
        </w:rPr>
        <w:t>Unies</w:t>
      </w:r>
      <w:proofErr w:type="spellEnd"/>
      <w:r w:rsidRPr="00DF274B">
        <w:rPr>
          <w:color w:val="595959"/>
          <w:sz w:val="19"/>
          <w:lang w:val="en-US"/>
        </w:rPr>
        <w:t xml:space="preserve"> (population)</w:t>
      </w:r>
    </w:p>
    <w:p w14:paraId="0114FD87" w14:textId="77777777" w:rsidR="00E237FE" w:rsidRDefault="004E65BF">
      <w:pPr>
        <w:spacing w:after="3" w:line="259" w:lineRule="auto"/>
        <w:ind w:left="41"/>
        <w:jc w:val="center"/>
      </w:pPr>
      <w:r>
        <w:rPr>
          <w:color w:val="595959"/>
          <w:sz w:val="19"/>
        </w:rPr>
        <w:t>Juillet 2026</w:t>
      </w:r>
    </w:p>
    <w:p w14:paraId="1D4EDCC4" w14:textId="77777777" w:rsidR="00E237FE" w:rsidRDefault="004E65BF">
      <w:pPr>
        <w:pStyle w:val="Heading2"/>
        <w:ind w:left="-5"/>
      </w:pPr>
      <w:r>
        <w:t>1. Objectif et problématique</w:t>
      </w:r>
    </w:p>
    <w:p w14:paraId="757811EF" w14:textId="77777777" w:rsidR="00E237FE" w:rsidRDefault="004E65BF">
      <w:pPr>
        <w:spacing w:after="223" w:line="259" w:lineRule="auto"/>
        <w:ind w:left="-2" w:right="-29" w:firstLine="0"/>
      </w:pPr>
      <w:r>
        <w:rPr>
          <w:noProof/>
          <w:sz w:val="22"/>
        </w:rPr>
        <mc:AlternateContent>
          <mc:Choice Requires="wpg">
            <w:drawing>
              <wp:inline distT="0" distB="0" distL="0" distR="0" wp14:anchorId="30FC73B8" wp14:editId="5FF03A20">
                <wp:extent cx="5730875" cy="12700"/>
                <wp:effectExtent l="0" t="0" r="0" b="0"/>
                <wp:docPr id="5986" name="Group 5986"/>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145" name="Shape 145"/>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147" name="Shape 147"/>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86" style="width:451.25pt;height:1pt;mso-position-horizontal-relative:char;mso-position-vertical-relative:line" coordsize="57308,127">
                <v:shape id="Shape 145" style="position:absolute;width:57308;height:0;left:0;top:0;" coordsize="5730875,0" path="m5730875,0l0,0">
                  <v:stroke weight="1pt" endcap="flat" joinstyle="round" on="true" color="#1f4e78"/>
                  <v:fill on="false" color="#000000" opacity="0"/>
                </v:shape>
                <v:shape id="Shape 147" style="position:absolute;width:57308;height:0;left:0;top:0;" coordsize="5730875,0" path="m5730875,0l0,0">
                  <v:stroke weight="1pt" endcap="flat" joinstyle="round" on="true" color="#1f4e78"/>
                  <v:fill on="false" color="#000000" opacity="0"/>
                </v:shape>
              </v:group>
            </w:pict>
          </mc:Fallback>
        </mc:AlternateContent>
      </w:r>
    </w:p>
    <w:p w14:paraId="1A54F526" w14:textId="77777777" w:rsidR="00E237FE" w:rsidRDefault="004E65BF">
      <w:pPr>
        <w:spacing w:after="159"/>
      </w:pPr>
      <w:r>
        <w:t xml:space="preserve">Ce projet applique le cycle complet de l'analyse de données — collecte, nettoyage, analyse, visualisation et restitution — à un enjeu de développement réel : l'état de l'éducation en Afrique. Il s'appuie sur le jeu de données World </w:t>
      </w:r>
      <w:proofErr w:type="spellStart"/>
      <w:r>
        <w:t>Development</w:t>
      </w:r>
      <w:proofErr w:type="spellEnd"/>
      <w:r>
        <w:t xml:space="preserve"> Indicators (WDI) de la Banque Mondiale, complété par des séries de l'UNESCO Institute for </w:t>
      </w:r>
      <w:proofErr w:type="spellStart"/>
      <w:r>
        <w:t>Statistics</w:t>
      </w:r>
      <w:proofErr w:type="spellEnd"/>
      <w:r>
        <w:t xml:space="preserve"> et du FMI, pour les 54 pays du continent africain.</w:t>
      </w:r>
    </w:p>
    <w:p w14:paraId="484D83A7" w14:textId="77777777" w:rsidR="00E237FE" w:rsidRDefault="004E65BF">
      <w:pPr>
        <w:spacing w:after="159"/>
      </w:pPr>
      <w:r>
        <w:t>Problématique retenue : Quel est l'état de l'alphabétisation et de la scolarisation en Afrique, quelles disparités régionales et de genre persistent, et dans quelle mesure l'investissement public en éducation et le niveau de richesse d'un pays expliquent-ils ces écarts ?</w:t>
      </w:r>
    </w:p>
    <w:p w14:paraId="60C07721" w14:textId="77777777" w:rsidR="00E237FE" w:rsidRDefault="004E65BF">
      <w:pPr>
        <w:spacing w:after="159"/>
      </w:pPr>
      <w:r>
        <w:t>Objectifs spécifiques :</w:t>
      </w:r>
    </w:p>
    <w:p w14:paraId="52A7288B" w14:textId="77777777" w:rsidR="00E237FE" w:rsidRDefault="004E65BF">
      <w:pPr>
        <w:numPr>
          <w:ilvl w:val="0"/>
          <w:numId w:val="1"/>
        </w:numPr>
        <w:ind w:hanging="360"/>
      </w:pPr>
      <w:r>
        <w:t>Mesurer le niveau d'alphabétisation des adultes et son évolution par région et par genre.</w:t>
      </w:r>
    </w:p>
    <w:p w14:paraId="71CB4A7D" w14:textId="77777777" w:rsidR="00E237FE" w:rsidRDefault="004E65BF">
      <w:pPr>
        <w:numPr>
          <w:ilvl w:val="0"/>
          <w:numId w:val="1"/>
        </w:numPr>
        <w:spacing w:after="0" w:line="346" w:lineRule="auto"/>
        <w:ind w:hanging="360"/>
      </w:pPr>
      <w:r>
        <w:t xml:space="preserve">Analyser la couverture scolaire (primaire et secondaire) et le décrochage entre les deux niveaux. </w:t>
      </w:r>
      <w:r>
        <w:rPr>
          <w:sz w:val="20"/>
        </w:rPr>
        <w:t xml:space="preserve">● </w:t>
      </w:r>
      <w:r>
        <w:t>Évaluer si les dépenses publiques d'éducation (% du PIB) sont corrélées à de meilleurs résultats.</w:t>
      </w:r>
    </w:p>
    <w:p w14:paraId="1EF59021" w14:textId="77777777" w:rsidR="00E237FE" w:rsidRDefault="004E65BF">
      <w:pPr>
        <w:numPr>
          <w:ilvl w:val="0"/>
          <w:numId w:val="1"/>
        </w:numPr>
        <w:ind w:hanging="360"/>
      </w:pPr>
      <w:r>
        <w:t>Identifier les pays et régions prioritaires pour l'action publique et les bailleurs de fonds.</w:t>
      </w:r>
    </w:p>
    <w:p w14:paraId="4DA6F90F" w14:textId="77777777" w:rsidR="00E237FE" w:rsidRDefault="004E65BF">
      <w:pPr>
        <w:numPr>
          <w:ilvl w:val="0"/>
          <w:numId w:val="1"/>
        </w:numPr>
        <w:spacing w:after="420"/>
        <w:ind w:hanging="360"/>
      </w:pPr>
      <w:r>
        <w:t>Livrer un tableau de bord Power BI interactif permettant l'exploration par région, pays et indicateur.</w:t>
      </w:r>
    </w:p>
    <w:p w14:paraId="19ADA1B3" w14:textId="77777777" w:rsidR="00E237FE" w:rsidRDefault="004E65BF">
      <w:pPr>
        <w:pStyle w:val="Heading2"/>
        <w:ind w:left="-5"/>
      </w:pPr>
      <w:r>
        <w:t>2. Description du jeu de données</w:t>
      </w:r>
    </w:p>
    <w:p w14:paraId="3520FD0F" w14:textId="77777777" w:rsidR="00E237FE" w:rsidRDefault="004E65BF">
      <w:pPr>
        <w:spacing w:after="224" w:line="259" w:lineRule="auto"/>
        <w:ind w:left="-2" w:right="-29" w:firstLine="0"/>
      </w:pPr>
      <w:r>
        <w:rPr>
          <w:noProof/>
          <w:sz w:val="22"/>
        </w:rPr>
        <mc:AlternateContent>
          <mc:Choice Requires="wpg">
            <w:drawing>
              <wp:inline distT="0" distB="0" distL="0" distR="0" wp14:anchorId="1DF2C720" wp14:editId="05CDE6E1">
                <wp:extent cx="5730875" cy="12700"/>
                <wp:effectExtent l="0" t="0" r="0" b="0"/>
                <wp:docPr id="5987" name="Group 5987"/>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146" name="Shape 146"/>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148" name="Shape 148"/>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87" style="width:451.25pt;height:1pt;mso-position-horizontal-relative:char;mso-position-vertical-relative:line" coordsize="57308,127">
                <v:shape id="Shape 146" style="position:absolute;width:57308;height:0;left:0;top:0;" coordsize="5730875,0" path="m5730875,0l0,0">
                  <v:stroke weight="1pt" endcap="flat" joinstyle="round" on="true" color="#1f4e78"/>
                  <v:fill on="false" color="#000000" opacity="0"/>
                </v:shape>
                <v:shape id="Shape 148" style="position:absolute;width:57308;height:0;left:0;top:0;" coordsize="5730875,0" path="m5730875,0l0,0">
                  <v:stroke weight="1pt" endcap="flat" joinstyle="round" on="true" color="#1f4e78"/>
                  <v:fill on="false" color="#000000" opacity="0"/>
                </v:shape>
              </v:group>
            </w:pict>
          </mc:Fallback>
        </mc:AlternateContent>
      </w:r>
    </w:p>
    <w:p w14:paraId="4D9908A8" w14:textId="77777777" w:rsidR="00E237FE" w:rsidRDefault="004E65BF">
      <w:pPr>
        <w:spacing w:after="159"/>
      </w:pPr>
      <w:r>
        <w:lastRenderedPageBreak/>
        <w:t>Le jeu de données couvre les 54 pays africains reconnus par les Nations Unies et regroupe des indicateurs issus de trois familles de sources officielles, toutes alignées sur la méthodologie WDI :</w:t>
      </w:r>
    </w:p>
    <w:p w14:paraId="02EDF791" w14:textId="77777777" w:rsidR="00E237FE" w:rsidRDefault="004E65BF">
      <w:pPr>
        <w:numPr>
          <w:ilvl w:val="0"/>
          <w:numId w:val="2"/>
        </w:numPr>
        <w:ind w:hanging="360"/>
      </w:pPr>
      <w:r>
        <w:t>Banque Mondiale (WDI) : dépenses publiques d'éducation (% du PIB).</w:t>
      </w:r>
    </w:p>
    <w:p w14:paraId="7E3F23AE" w14:textId="77777777" w:rsidR="00E237FE" w:rsidRDefault="004E65BF">
      <w:pPr>
        <w:numPr>
          <w:ilvl w:val="0"/>
          <w:numId w:val="2"/>
        </w:numPr>
        <w:ind w:hanging="360"/>
      </w:pPr>
      <w:r>
        <w:t xml:space="preserve">UNESCO Institute for </w:t>
      </w:r>
      <w:proofErr w:type="spellStart"/>
      <w:r>
        <w:t>Statistics</w:t>
      </w:r>
      <w:proofErr w:type="spellEnd"/>
      <w:r>
        <w:t xml:space="preserve"> (UIS) : taux d'alphabétisation des adultes (total, hommes, femmes), taux brut de scolarisation primaire et secondaire.</w:t>
      </w:r>
    </w:p>
    <w:p w14:paraId="5748B848" w14:textId="77777777" w:rsidR="00E237FE" w:rsidRDefault="004E65BF">
      <w:pPr>
        <w:numPr>
          <w:ilvl w:val="0"/>
          <w:numId w:val="2"/>
        </w:numPr>
        <w:ind w:hanging="360"/>
      </w:pPr>
      <w:r>
        <w:t xml:space="preserve">FMI — World </w:t>
      </w:r>
      <w:proofErr w:type="spellStart"/>
      <w:r>
        <w:t>Economic</w:t>
      </w:r>
      <w:proofErr w:type="spellEnd"/>
      <w:r>
        <w:t xml:space="preserve"> Outlook (avril 2026) : PIB par habitant en parité de pouvoir d'achat (PPA).</w:t>
      </w:r>
    </w:p>
    <w:p w14:paraId="1BD28C7B" w14:textId="77777777" w:rsidR="00E237FE" w:rsidRDefault="004E65BF">
      <w:pPr>
        <w:numPr>
          <w:ilvl w:val="0"/>
          <w:numId w:val="2"/>
        </w:numPr>
        <w:spacing w:after="524"/>
        <w:ind w:hanging="360"/>
      </w:pPr>
      <w:r>
        <w:t>Nations Unies / recensements officiels : population par pays (estimation la plus récente disponible).</w:t>
      </w:r>
    </w:p>
    <w:p w14:paraId="77641ADB" w14:textId="77777777" w:rsidR="00E237FE" w:rsidRDefault="004E65BF">
      <w:pPr>
        <w:spacing w:after="0"/>
      </w:pPr>
      <w:r>
        <w:t>Le tableau ci-dessous résume la structure du jeu de données final (feuille « Data » du classeur Excel fourni) :</w:t>
      </w:r>
    </w:p>
    <w:tbl>
      <w:tblPr>
        <w:tblStyle w:val="TableGrid"/>
        <w:tblW w:w="9026" w:type="dxa"/>
        <w:tblInd w:w="4" w:type="dxa"/>
        <w:tblCellMar>
          <w:top w:w="73" w:type="dxa"/>
          <w:left w:w="101" w:type="dxa"/>
          <w:bottom w:w="0" w:type="dxa"/>
          <w:right w:w="101" w:type="dxa"/>
        </w:tblCellMar>
        <w:tblLook w:val="04A0" w:firstRow="1" w:lastRow="0" w:firstColumn="1" w:lastColumn="0" w:noHBand="0" w:noVBand="1"/>
      </w:tblPr>
      <w:tblGrid>
        <w:gridCol w:w="2354"/>
        <w:gridCol w:w="5102"/>
        <w:gridCol w:w="1570"/>
      </w:tblGrid>
      <w:tr w:rsidR="00E237FE" w14:paraId="5EC1ED63" w14:textId="77777777">
        <w:trPr>
          <w:trHeight w:val="349"/>
        </w:trPr>
        <w:tc>
          <w:tcPr>
            <w:tcW w:w="2354" w:type="dxa"/>
            <w:tcBorders>
              <w:top w:val="single" w:sz="4" w:space="0" w:color="000000"/>
              <w:left w:val="single" w:sz="4" w:space="0" w:color="000000"/>
              <w:bottom w:val="single" w:sz="4" w:space="0" w:color="000000"/>
              <w:right w:val="single" w:sz="4" w:space="0" w:color="000000"/>
            </w:tcBorders>
            <w:shd w:val="clear" w:color="auto" w:fill="1F4E78"/>
          </w:tcPr>
          <w:p w14:paraId="56672B09" w14:textId="77777777" w:rsidR="00E237FE" w:rsidRDefault="004E65BF">
            <w:pPr>
              <w:spacing w:after="0" w:line="259" w:lineRule="auto"/>
              <w:ind w:left="1" w:firstLine="0"/>
              <w:jc w:val="center"/>
            </w:pPr>
            <w:r>
              <w:rPr>
                <w:b/>
                <w:color w:val="FFFFFF"/>
                <w:sz w:val="19"/>
              </w:rPr>
              <w:t>Colonne</w:t>
            </w:r>
          </w:p>
        </w:tc>
        <w:tc>
          <w:tcPr>
            <w:tcW w:w="5102" w:type="dxa"/>
            <w:tcBorders>
              <w:top w:val="single" w:sz="4" w:space="0" w:color="000000"/>
              <w:left w:val="single" w:sz="4" w:space="0" w:color="000000"/>
              <w:bottom w:val="single" w:sz="4" w:space="0" w:color="000000"/>
              <w:right w:val="single" w:sz="4" w:space="0" w:color="000000"/>
            </w:tcBorders>
            <w:shd w:val="clear" w:color="auto" w:fill="1F4E78"/>
          </w:tcPr>
          <w:p w14:paraId="4EEACC43" w14:textId="77777777" w:rsidR="00E237FE" w:rsidRDefault="004E65BF">
            <w:pPr>
              <w:spacing w:after="0" w:line="259" w:lineRule="auto"/>
              <w:ind w:left="2" w:firstLine="0"/>
              <w:jc w:val="center"/>
            </w:pPr>
            <w:r>
              <w:rPr>
                <w:b/>
                <w:color w:val="FFFFFF"/>
                <w:sz w:val="19"/>
              </w:rPr>
              <w:t>Description</w:t>
            </w:r>
          </w:p>
        </w:tc>
        <w:tc>
          <w:tcPr>
            <w:tcW w:w="1570" w:type="dxa"/>
            <w:tcBorders>
              <w:top w:val="single" w:sz="4" w:space="0" w:color="000000"/>
              <w:left w:val="single" w:sz="4" w:space="0" w:color="000000"/>
              <w:bottom w:val="single" w:sz="4" w:space="0" w:color="000000"/>
              <w:right w:val="single" w:sz="4" w:space="0" w:color="000000"/>
            </w:tcBorders>
            <w:shd w:val="clear" w:color="auto" w:fill="1F4E78"/>
          </w:tcPr>
          <w:p w14:paraId="20AB17EF" w14:textId="77777777" w:rsidR="00E237FE" w:rsidRDefault="004E65BF">
            <w:pPr>
              <w:spacing w:after="0" w:line="259" w:lineRule="auto"/>
              <w:ind w:left="1" w:firstLine="0"/>
              <w:jc w:val="center"/>
            </w:pPr>
            <w:r>
              <w:rPr>
                <w:b/>
                <w:color w:val="FFFFFF"/>
                <w:sz w:val="19"/>
              </w:rPr>
              <w:t>Type</w:t>
            </w:r>
          </w:p>
        </w:tc>
      </w:tr>
      <w:tr w:rsidR="00E237FE" w14:paraId="23B1C0EF" w14:textId="77777777">
        <w:trPr>
          <w:trHeight w:val="349"/>
        </w:trPr>
        <w:tc>
          <w:tcPr>
            <w:tcW w:w="2354" w:type="dxa"/>
            <w:tcBorders>
              <w:top w:val="single" w:sz="4" w:space="0" w:color="000000"/>
              <w:left w:val="single" w:sz="4" w:space="0" w:color="000000"/>
              <w:bottom w:val="single" w:sz="4" w:space="0" w:color="000000"/>
              <w:right w:val="single" w:sz="4" w:space="0" w:color="000000"/>
            </w:tcBorders>
          </w:tcPr>
          <w:p w14:paraId="50BCC655" w14:textId="77777777" w:rsidR="00E237FE" w:rsidRDefault="004E65BF">
            <w:pPr>
              <w:spacing w:after="0" w:line="259" w:lineRule="auto"/>
              <w:ind w:left="0" w:firstLine="0"/>
            </w:pPr>
            <w:r>
              <w:rPr>
                <w:sz w:val="19"/>
              </w:rPr>
              <w:t>Country / Region</w:t>
            </w:r>
          </w:p>
        </w:tc>
        <w:tc>
          <w:tcPr>
            <w:tcW w:w="5102" w:type="dxa"/>
            <w:tcBorders>
              <w:top w:val="single" w:sz="4" w:space="0" w:color="000000"/>
              <w:left w:val="single" w:sz="4" w:space="0" w:color="000000"/>
              <w:bottom w:val="single" w:sz="4" w:space="0" w:color="000000"/>
              <w:right w:val="single" w:sz="4" w:space="0" w:color="000000"/>
            </w:tcBorders>
          </w:tcPr>
          <w:p w14:paraId="75117CC6" w14:textId="77777777" w:rsidR="00E237FE" w:rsidRDefault="004E65BF">
            <w:pPr>
              <w:spacing w:after="0" w:line="259" w:lineRule="auto"/>
              <w:ind w:left="1" w:firstLine="0"/>
              <w:jc w:val="center"/>
            </w:pPr>
            <w:r>
              <w:rPr>
                <w:sz w:val="19"/>
              </w:rPr>
              <w:t>Pays et sous-région d'Afrique (5 régions)</w:t>
            </w:r>
          </w:p>
        </w:tc>
        <w:tc>
          <w:tcPr>
            <w:tcW w:w="1570" w:type="dxa"/>
            <w:tcBorders>
              <w:top w:val="single" w:sz="4" w:space="0" w:color="000000"/>
              <w:left w:val="single" w:sz="4" w:space="0" w:color="000000"/>
              <w:bottom w:val="single" w:sz="4" w:space="0" w:color="000000"/>
              <w:right w:val="single" w:sz="4" w:space="0" w:color="000000"/>
            </w:tcBorders>
          </w:tcPr>
          <w:p w14:paraId="3AECA63A" w14:textId="77777777" w:rsidR="00E237FE" w:rsidRDefault="004E65BF">
            <w:pPr>
              <w:spacing w:after="0" w:line="259" w:lineRule="auto"/>
              <w:ind w:left="2" w:firstLine="0"/>
              <w:jc w:val="center"/>
            </w:pPr>
            <w:r>
              <w:rPr>
                <w:sz w:val="19"/>
              </w:rPr>
              <w:t>Texte</w:t>
            </w:r>
          </w:p>
        </w:tc>
      </w:tr>
      <w:tr w:rsidR="00E237FE" w14:paraId="7361CDB6" w14:textId="77777777">
        <w:trPr>
          <w:trHeight w:val="349"/>
        </w:trPr>
        <w:tc>
          <w:tcPr>
            <w:tcW w:w="2354" w:type="dxa"/>
            <w:tcBorders>
              <w:top w:val="single" w:sz="4" w:space="0" w:color="000000"/>
              <w:left w:val="single" w:sz="4" w:space="0" w:color="000000"/>
              <w:bottom w:val="single" w:sz="4" w:space="0" w:color="000000"/>
              <w:right w:val="single" w:sz="4" w:space="0" w:color="000000"/>
            </w:tcBorders>
            <w:shd w:val="clear" w:color="auto" w:fill="F2F2F2"/>
          </w:tcPr>
          <w:p w14:paraId="75435DB3" w14:textId="77777777" w:rsidR="00E237FE" w:rsidRDefault="004E65BF">
            <w:pPr>
              <w:spacing w:after="0" w:line="259" w:lineRule="auto"/>
              <w:ind w:left="0" w:firstLine="0"/>
            </w:pPr>
            <w:r>
              <w:rPr>
                <w:sz w:val="19"/>
              </w:rPr>
              <w:t>Population_2023</w:t>
            </w:r>
          </w:p>
        </w:tc>
        <w:tc>
          <w:tcPr>
            <w:tcW w:w="5102" w:type="dxa"/>
            <w:tcBorders>
              <w:top w:val="single" w:sz="4" w:space="0" w:color="000000"/>
              <w:left w:val="single" w:sz="4" w:space="0" w:color="000000"/>
              <w:bottom w:val="single" w:sz="4" w:space="0" w:color="000000"/>
              <w:right w:val="single" w:sz="4" w:space="0" w:color="000000"/>
            </w:tcBorders>
            <w:shd w:val="clear" w:color="auto" w:fill="F2F2F2"/>
          </w:tcPr>
          <w:p w14:paraId="346E83CE" w14:textId="77777777" w:rsidR="00E237FE" w:rsidRDefault="004E65BF">
            <w:pPr>
              <w:spacing w:after="0" w:line="259" w:lineRule="auto"/>
              <w:ind w:left="0" w:right="1" w:firstLine="0"/>
              <w:jc w:val="center"/>
            </w:pPr>
            <w:r>
              <w:rPr>
                <w:sz w:val="19"/>
              </w:rPr>
              <w:t>Population totale la plus récente</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Pr>
          <w:p w14:paraId="0EC33F58" w14:textId="77777777" w:rsidR="00E237FE" w:rsidRDefault="004E65BF">
            <w:pPr>
              <w:spacing w:after="0" w:line="259" w:lineRule="auto"/>
              <w:ind w:left="2" w:firstLine="0"/>
              <w:jc w:val="center"/>
            </w:pPr>
            <w:r>
              <w:rPr>
                <w:sz w:val="19"/>
              </w:rPr>
              <w:t>Numérique</w:t>
            </w:r>
          </w:p>
        </w:tc>
      </w:tr>
      <w:tr w:rsidR="00E237FE" w14:paraId="52773473" w14:textId="77777777">
        <w:trPr>
          <w:trHeight w:val="348"/>
        </w:trPr>
        <w:tc>
          <w:tcPr>
            <w:tcW w:w="2354" w:type="dxa"/>
            <w:tcBorders>
              <w:top w:val="single" w:sz="4" w:space="0" w:color="000000"/>
              <w:left w:val="single" w:sz="4" w:space="0" w:color="000000"/>
              <w:bottom w:val="single" w:sz="4" w:space="0" w:color="000000"/>
              <w:right w:val="single" w:sz="4" w:space="0" w:color="000000"/>
            </w:tcBorders>
          </w:tcPr>
          <w:p w14:paraId="0A1DA88B" w14:textId="77777777" w:rsidR="00E237FE" w:rsidRPr="00DF274B" w:rsidRDefault="004E65BF">
            <w:pPr>
              <w:spacing w:after="0" w:line="259" w:lineRule="auto"/>
              <w:ind w:left="0" w:firstLine="0"/>
              <w:rPr>
                <w:lang w:val="en-US"/>
              </w:rPr>
            </w:pPr>
            <w:proofErr w:type="spellStart"/>
            <w:r w:rsidRPr="00DF274B">
              <w:rPr>
                <w:sz w:val="19"/>
                <w:lang w:val="en-US"/>
              </w:rPr>
              <w:t>GDP_PPP_per_capita_USD</w:t>
            </w:r>
            <w:proofErr w:type="spellEnd"/>
          </w:p>
        </w:tc>
        <w:tc>
          <w:tcPr>
            <w:tcW w:w="5102" w:type="dxa"/>
            <w:tcBorders>
              <w:top w:val="single" w:sz="4" w:space="0" w:color="000000"/>
              <w:left w:val="single" w:sz="4" w:space="0" w:color="000000"/>
              <w:bottom w:val="single" w:sz="4" w:space="0" w:color="000000"/>
              <w:right w:val="single" w:sz="4" w:space="0" w:color="000000"/>
            </w:tcBorders>
          </w:tcPr>
          <w:p w14:paraId="2ED7A5DA" w14:textId="77777777" w:rsidR="00E237FE" w:rsidRDefault="004E65BF">
            <w:pPr>
              <w:spacing w:after="0" w:line="259" w:lineRule="auto"/>
              <w:ind w:left="0" w:firstLine="0"/>
              <w:jc w:val="center"/>
            </w:pPr>
            <w:r>
              <w:rPr>
                <w:sz w:val="19"/>
              </w:rPr>
              <w:t>PIB par habitant en PPA ($ internationaux)</w:t>
            </w:r>
          </w:p>
        </w:tc>
        <w:tc>
          <w:tcPr>
            <w:tcW w:w="1570" w:type="dxa"/>
            <w:tcBorders>
              <w:top w:val="single" w:sz="4" w:space="0" w:color="000000"/>
              <w:left w:val="single" w:sz="4" w:space="0" w:color="000000"/>
              <w:bottom w:val="single" w:sz="4" w:space="0" w:color="000000"/>
              <w:right w:val="single" w:sz="4" w:space="0" w:color="000000"/>
            </w:tcBorders>
          </w:tcPr>
          <w:p w14:paraId="22026F5E" w14:textId="77777777" w:rsidR="00E237FE" w:rsidRDefault="004E65BF">
            <w:pPr>
              <w:spacing w:after="0" w:line="259" w:lineRule="auto"/>
              <w:ind w:left="2" w:firstLine="0"/>
              <w:jc w:val="center"/>
            </w:pPr>
            <w:r>
              <w:rPr>
                <w:sz w:val="19"/>
              </w:rPr>
              <w:t>Numérique</w:t>
            </w:r>
          </w:p>
        </w:tc>
      </w:tr>
      <w:tr w:rsidR="00E237FE" w14:paraId="7FE294CF" w14:textId="77777777">
        <w:trPr>
          <w:trHeight w:val="568"/>
        </w:trPr>
        <w:tc>
          <w:tcPr>
            <w:tcW w:w="2354" w:type="dxa"/>
            <w:tcBorders>
              <w:top w:val="single" w:sz="4" w:space="0" w:color="000000"/>
              <w:left w:val="single" w:sz="4" w:space="0" w:color="000000"/>
              <w:bottom w:val="single" w:sz="4" w:space="0" w:color="000000"/>
              <w:right w:val="single" w:sz="4" w:space="0" w:color="000000"/>
            </w:tcBorders>
            <w:shd w:val="clear" w:color="auto" w:fill="F2F2F2"/>
          </w:tcPr>
          <w:p w14:paraId="42240EAC" w14:textId="77777777" w:rsidR="00E237FE" w:rsidRPr="00DF274B" w:rsidRDefault="004E65BF">
            <w:pPr>
              <w:spacing w:after="0" w:line="259" w:lineRule="auto"/>
              <w:ind w:left="0" w:firstLine="0"/>
              <w:rPr>
                <w:lang w:val="en-US"/>
              </w:rPr>
            </w:pPr>
            <w:proofErr w:type="spellStart"/>
            <w:r w:rsidRPr="00DF274B">
              <w:rPr>
                <w:sz w:val="19"/>
                <w:lang w:val="en-US"/>
              </w:rPr>
              <w:t>Literacy_Rate_Total</w:t>
            </w:r>
            <w:proofErr w:type="spellEnd"/>
            <w:r w:rsidRPr="00DF274B">
              <w:rPr>
                <w:sz w:val="19"/>
                <w:lang w:val="en-US"/>
              </w:rPr>
              <w:t>/ Male/</w:t>
            </w:r>
            <w:proofErr w:type="spellStart"/>
            <w:r w:rsidRPr="00DF274B">
              <w:rPr>
                <w:sz w:val="19"/>
                <w:lang w:val="en-US"/>
              </w:rPr>
              <w:t>Female_pct</w:t>
            </w:r>
            <w:proofErr w:type="spellEnd"/>
          </w:p>
        </w:tc>
        <w:tc>
          <w:tcPr>
            <w:tcW w:w="5102" w:type="dxa"/>
            <w:tcBorders>
              <w:top w:val="single" w:sz="4" w:space="0" w:color="000000"/>
              <w:left w:val="single" w:sz="4" w:space="0" w:color="000000"/>
              <w:bottom w:val="single" w:sz="4" w:space="0" w:color="000000"/>
              <w:right w:val="single" w:sz="4" w:space="0" w:color="000000"/>
            </w:tcBorders>
            <w:shd w:val="clear" w:color="auto" w:fill="F2F2F2"/>
          </w:tcPr>
          <w:p w14:paraId="7C53AFBA" w14:textId="77777777" w:rsidR="00E237FE" w:rsidRDefault="004E65BF">
            <w:pPr>
              <w:spacing w:after="0" w:line="259" w:lineRule="auto"/>
              <w:ind w:left="0" w:right="1" w:firstLine="0"/>
              <w:jc w:val="center"/>
            </w:pPr>
            <w:r>
              <w:rPr>
                <w:sz w:val="19"/>
              </w:rPr>
              <w:t>Taux d'alphabétisation des adultes (%)</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Pr>
          <w:p w14:paraId="31896B35" w14:textId="77777777" w:rsidR="00E237FE" w:rsidRDefault="004E65BF">
            <w:pPr>
              <w:spacing w:after="0" w:line="259" w:lineRule="auto"/>
              <w:ind w:left="2" w:firstLine="0"/>
              <w:jc w:val="center"/>
            </w:pPr>
            <w:r>
              <w:rPr>
                <w:sz w:val="19"/>
              </w:rPr>
              <w:t>Numérique</w:t>
            </w:r>
          </w:p>
        </w:tc>
      </w:tr>
      <w:tr w:rsidR="00E237FE" w14:paraId="4BEEBB47" w14:textId="77777777">
        <w:trPr>
          <w:trHeight w:val="350"/>
        </w:trPr>
        <w:tc>
          <w:tcPr>
            <w:tcW w:w="2354" w:type="dxa"/>
            <w:tcBorders>
              <w:top w:val="single" w:sz="4" w:space="0" w:color="000000"/>
              <w:left w:val="single" w:sz="4" w:space="0" w:color="000000"/>
              <w:bottom w:val="single" w:sz="4" w:space="0" w:color="000000"/>
              <w:right w:val="single" w:sz="4" w:space="0" w:color="000000"/>
            </w:tcBorders>
          </w:tcPr>
          <w:p w14:paraId="3273D11F" w14:textId="77777777" w:rsidR="00E237FE" w:rsidRDefault="004E65BF">
            <w:pPr>
              <w:spacing w:after="0" w:line="259" w:lineRule="auto"/>
              <w:ind w:left="0" w:firstLine="0"/>
            </w:pPr>
            <w:proofErr w:type="spellStart"/>
            <w:r>
              <w:rPr>
                <w:sz w:val="19"/>
              </w:rPr>
              <w:t>Literacy_Gender_Gap_pp</w:t>
            </w:r>
            <w:proofErr w:type="spellEnd"/>
          </w:p>
        </w:tc>
        <w:tc>
          <w:tcPr>
            <w:tcW w:w="5102" w:type="dxa"/>
            <w:tcBorders>
              <w:top w:val="single" w:sz="4" w:space="0" w:color="000000"/>
              <w:left w:val="single" w:sz="4" w:space="0" w:color="000000"/>
              <w:bottom w:val="single" w:sz="4" w:space="0" w:color="000000"/>
              <w:right w:val="single" w:sz="4" w:space="0" w:color="000000"/>
            </w:tcBorders>
          </w:tcPr>
          <w:p w14:paraId="202A58EC" w14:textId="77777777" w:rsidR="00E237FE" w:rsidRDefault="004E65BF">
            <w:pPr>
              <w:spacing w:after="0" w:line="259" w:lineRule="auto"/>
              <w:ind w:left="0" w:firstLine="0"/>
              <w:jc w:val="center"/>
            </w:pPr>
            <w:r>
              <w:rPr>
                <w:sz w:val="19"/>
              </w:rPr>
              <w:t>Écart Hommes-Femmes (points de %)</w:t>
            </w:r>
          </w:p>
        </w:tc>
        <w:tc>
          <w:tcPr>
            <w:tcW w:w="1570" w:type="dxa"/>
            <w:tcBorders>
              <w:top w:val="single" w:sz="4" w:space="0" w:color="000000"/>
              <w:left w:val="single" w:sz="4" w:space="0" w:color="000000"/>
              <w:bottom w:val="single" w:sz="4" w:space="0" w:color="000000"/>
              <w:right w:val="single" w:sz="4" w:space="0" w:color="000000"/>
            </w:tcBorders>
          </w:tcPr>
          <w:p w14:paraId="13A2143A" w14:textId="77777777" w:rsidR="00E237FE" w:rsidRDefault="004E65BF">
            <w:pPr>
              <w:spacing w:after="0" w:line="259" w:lineRule="auto"/>
              <w:ind w:left="1" w:firstLine="0"/>
              <w:jc w:val="center"/>
            </w:pPr>
            <w:r>
              <w:rPr>
                <w:sz w:val="19"/>
              </w:rPr>
              <w:t>Calculé</w:t>
            </w:r>
          </w:p>
        </w:tc>
      </w:tr>
      <w:tr w:rsidR="00E237FE" w14:paraId="148E8F3F" w14:textId="77777777">
        <w:trPr>
          <w:trHeight w:val="348"/>
        </w:trPr>
        <w:tc>
          <w:tcPr>
            <w:tcW w:w="2354" w:type="dxa"/>
            <w:tcBorders>
              <w:top w:val="single" w:sz="4" w:space="0" w:color="000000"/>
              <w:left w:val="single" w:sz="4" w:space="0" w:color="000000"/>
              <w:bottom w:val="single" w:sz="4" w:space="0" w:color="000000"/>
              <w:right w:val="single" w:sz="4" w:space="0" w:color="000000"/>
            </w:tcBorders>
            <w:shd w:val="clear" w:color="auto" w:fill="F2F2F2"/>
          </w:tcPr>
          <w:p w14:paraId="20937434" w14:textId="77777777" w:rsidR="00E237FE" w:rsidRDefault="004E65BF">
            <w:pPr>
              <w:spacing w:after="0" w:line="259" w:lineRule="auto"/>
              <w:ind w:left="0" w:firstLine="0"/>
            </w:pPr>
            <w:proofErr w:type="spellStart"/>
            <w:r>
              <w:rPr>
                <w:sz w:val="19"/>
              </w:rPr>
              <w:t>Edu_Spending_pct_GDP</w:t>
            </w:r>
            <w:proofErr w:type="spellEnd"/>
          </w:p>
        </w:tc>
        <w:tc>
          <w:tcPr>
            <w:tcW w:w="5102" w:type="dxa"/>
            <w:tcBorders>
              <w:top w:val="single" w:sz="4" w:space="0" w:color="000000"/>
              <w:left w:val="single" w:sz="4" w:space="0" w:color="000000"/>
              <w:bottom w:val="single" w:sz="4" w:space="0" w:color="000000"/>
              <w:right w:val="single" w:sz="4" w:space="0" w:color="000000"/>
            </w:tcBorders>
            <w:shd w:val="clear" w:color="auto" w:fill="F2F2F2"/>
          </w:tcPr>
          <w:p w14:paraId="53DDA776" w14:textId="77777777" w:rsidR="00E237FE" w:rsidRDefault="004E65BF">
            <w:pPr>
              <w:spacing w:after="0" w:line="259" w:lineRule="auto"/>
              <w:ind w:left="1" w:firstLine="0"/>
              <w:jc w:val="center"/>
            </w:pPr>
            <w:r>
              <w:rPr>
                <w:sz w:val="19"/>
              </w:rPr>
              <w:t>Dépenses publiques d'éducation (% du PIB)</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Pr>
          <w:p w14:paraId="796E3906" w14:textId="77777777" w:rsidR="00E237FE" w:rsidRDefault="004E65BF">
            <w:pPr>
              <w:spacing w:after="0" w:line="259" w:lineRule="auto"/>
              <w:ind w:left="2" w:firstLine="0"/>
              <w:jc w:val="center"/>
            </w:pPr>
            <w:r>
              <w:rPr>
                <w:sz w:val="19"/>
              </w:rPr>
              <w:t>Numérique</w:t>
            </w:r>
          </w:p>
        </w:tc>
      </w:tr>
      <w:tr w:rsidR="00E237FE" w14:paraId="432E7EB3" w14:textId="77777777">
        <w:trPr>
          <w:trHeight w:val="790"/>
        </w:trPr>
        <w:tc>
          <w:tcPr>
            <w:tcW w:w="2354" w:type="dxa"/>
            <w:tcBorders>
              <w:top w:val="single" w:sz="4" w:space="0" w:color="000000"/>
              <w:left w:val="single" w:sz="4" w:space="0" w:color="000000"/>
              <w:bottom w:val="single" w:sz="4" w:space="0" w:color="000000"/>
              <w:right w:val="single" w:sz="4" w:space="0" w:color="000000"/>
            </w:tcBorders>
          </w:tcPr>
          <w:p w14:paraId="3C1A254D" w14:textId="77777777" w:rsidR="00E237FE" w:rsidRPr="00DF274B" w:rsidRDefault="004E65BF">
            <w:pPr>
              <w:spacing w:after="0" w:line="259" w:lineRule="auto"/>
              <w:ind w:left="0" w:firstLine="0"/>
              <w:rPr>
                <w:lang w:val="en-US"/>
              </w:rPr>
            </w:pPr>
            <w:r w:rsidRPr="00DF274B">
              <w:rPr>
                <w:sz w:val="19"/>
                <w:lang w:val="en-US"/>
              </w:rPr>
              <w:t>Primary/</w:t>
            </w:r>
          </w:p>
          <w:p w14:paraId="5215C467" w14:textId="77777777" w:rsidR="00E237FE" w:rsidRPr="00DF274B" w:rsidRDefault="004E65BF">
            <w:pPr>
              <w:spacing w:after="0" w:line="259" w:lineRule="auto"/>
              <w:ind w:left="0" w:firstLine="0"/>
              <w:rPr>
                <w:lang w:val="en-US"/>
              </w:rPr>
            </w:pPr>
            <w:proofErr w:type="spellStart"/>
            <w:r w:rsidRPr="00DF274B">
              <w:rPr>
                <w:sz w:val="19"/>
                <w:lang w:val="en-US"/>
              </w:rPr>
              <w:t>Secondary_Enrollment_pct</w:t>
            </w:r>
            <w:proofErr w:type="spellEnd"/>
          </w:p>
          <w:p w14:paraId="281C7D8F" w14:textId="77777777" w:rsidR="00E237FE" w:rsidRPr="00DF274B" w:rsidRDefault="004E65BF">
            <w:pPr>
              <w:spacing w:after="0" w:line="259" w:lineRule="auto"/>
              <w:ind w:left="0" w:firstLine="0"/>
              <w:rPr>
                <w:lang w:val="en-US"/>
              </w:rPr>
            </w:pPr>
            <w:r w:rsidRPr="00DF274B">
              <w:rPr>
                <w:sz w:val="19"/>
                <w:lang w:val="en-US"/>
              </w:rPr>
              <w:t>_gross</w:t>
            </w:r>
          </w:p>
        </w:tc>
        <w:tc>
          <w:tcPr>
            <w:tcW w:w="5102" w:type="dxa"/>
            <w:tcBorders>
              <w:top w:val="single" w:sz="4" w:space="0" w:color="000000"/>
              <w:left w:val="single" w:sz="4" w:space="0" w:color="000000"/>
              <w:bottom w:val="single" w:sz="4" w:space="0" w:color="000000"/>
              <w:right w:val="single" w:sz="4" w:space="0" w:color="000000"/>
            </w:tcBorders>
          </w:tcPr>
          <w:p w14:paraId="68099E21" w14:textId="77777777" w:rsidR="00E237FE" w:rsidRDefault="004E65BF">
            <w:pPr>
              <w:spacing w:after="0" w:line="259" w:lineRule="auto"/>
              <w:ind w:left="1" w:firstLine="0"/>
              <w:jc w:val="center"/>
            </w:pPr>
            <w:r>
              <w:rPr>
                <w:sz w:val="19"/>
              </w:rPr>
              <w:t>Taux brut de scolarisation (%)</w:t>
            </w:r>
          </w:p>
        </w:tc>
        <w:tc>
          <w:tcPr>
            <w:tcW w:w="1570" w:type="dxa"/>
            <w:tcBorders>
              <w:top w:val="single" w:sz="4" w:space="0" w:color="000000"/>
              <w:left w:val="single" w:sz="4" w:space="0" w:color="000000"/>
              <w:bottom w:val="single" w:sz="4" w:space="0" w:color="000000"/>
              <w:right w:val="single" w:sz="4" w:space="0" w:color="000000"/>
            </w:tcBorders>
          </w:tcPr>
          <w:p w14:paraId="54044742" w14:textId="77777777" w:rsidR="00E237FE" w:rsidRDefault="004E65BF">
            <w:pPr>
              <w:spacing w:after="0" w:line="259" w:lineRule="auto"/>
              <w:ind w:left="2" w:firstLine="0"/>
              <w:jc w:val="center"/>
            </w:pPr>
            <w:r>
              <w:rPr>
                <w:sz w:val="19"/>
              </w:rPr>
              <w:t>Numérique</w:t>
            </w:r>
          </w:p>
        </w:tc>
      </w:tr>
      <w:tr w:rsidR="00E237FE" w14:paraId="7F0BD086" w14:textId="77777777">
        <w:trPr>
          <w:trHeight w:val="348"/>
        </w:trPr>
        <w:tc>
          <w:tcPr>
            <w:tcW w:w="2354" w:type="dxa"/>
            <w:tcBorders>
              <w:top w:val="single" w:sz="4" w:space="0" w:color="000000"/>
              <w:left w:val="single" w:sz="4" w:space="0" w:color="000000"/>
              <w:bottom w:val="single" w:sz="4" w:space="0" w:color="000000"/>
              <w:right w:val="single" w:sz="4" w:space="0" w:color="000000"/>
            </w:tcBorders>
            <w:shd w:val="clear" w:color="auto" w:fill="F2F2F2"/>
          </w:tcPr>
          <w:p w14:paraId="1D0DB1FF" w14:textId="77777777" w:rsidR="00E237FE" w:rsidRPr="00DF274B" w:rsidRDefault="004E65BF">
            <w:pPr>
              <w:spacing w:after="0" w:line="259" w:lineRule="auto"/>
              <w:ind w:left="0" w:firstLine="0"/>
              <w:rPr>
                <w:lang w:val="en-US"/>
              </w:rPr>
            </w:pPr>
            <w:proofErr w:type="spellStart"/>
            <w:r w:rsidRPr="00DF274B">
              <w:rPr>
                <w:sz w:val="19"/>
                <w:lang w:val="en-US"/>
              </w:rPr>
              <w:t>Out_of_School_Risk_Index</w:t>
            </w:r>
            <w:proofErr w:type="spellEnd"/>
          </w:p>
        </w:tc>
        <w:tc>
          <w:tcPr>
            <w:tcW w:w="5102" w:type="dxa"/>
            <w:tcBorders>
              <w:top w:val="single" w:sz="4" w:space="0" w:color="000000"/>
              <w:left w:val="single" w:sz="4" w:space="0" w:color="000000"/>
              <w:bottom w:val="single" w:sz="4" w:space="0" w:color="000000"/>
              <w:right w:val="single" w:sz="4" w:space="0" w:color="000000"/>
            </w:tcBorders>
            <w:shd w:val="clear" w:color="auto" w:fill="F2F2F2"/>
          </w:tcPr>
          <w:p w14:paraId="317249B2" w14:textId="77777777" w:rsidR="00E237FE" w:rsidRDefault="004E65BF">
            <w:pPr>
              <w:spacing w:after="0" w:line="259" w:lineRule="auto"/>
              <w:ind w:left="14" w:firstLine="0"/>
              <w:jc w:val="center"/>
            </w:pPr>
            <w:r>
              <w:rPr>
                <w:sz w:val="19"/>
              </w:rPr>
              <w:t>Indice de risque de non-scolarisation</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Pr>
          <w:p w14:paraId="08820523" w14:textId="77777777" w:rsidR="00E237FE" w:rsidRDefault="004E65BF">
            <w:pPr>
              <w:spacing w:after="0" w:line="259" w:lineRule="auto"/>
              <w:ind w:left="16" w:firstLine="0"/>
              <w:jc w:val="center"/>
            </w:pPr>
            <w:r>
              <w:rPr>
                <w:sz w:val="19"/>
              </w:rPr>
              <w:t>Calculé</w:t>
            </w:r>
          </w:p>
        </w:tc>
      </w:tr>
    </w:tbl>
    <w:p w14:paraId="034BA975" w14:textId="77777777" w:rsidR="00E237FE" w:rsidRDefault="004E65BF">
      <w:pPr>
        <w:spacing w:after="421"/>
      </w:pPr>
      <w:r>
        <w:t xml:space="preserve">Périmètre temporel : chaque indicateur reflète l'année la plus récente publiée par sa source (2015-2024 selon la série ; l'année exacte de l'alphabétisation est conservée dans la colonne </w:t>
      </w:r>
      <w:proofErr w:type="spellStart"/>
      <w:r>
        <w:t>Literacy_Year</w:t>
      </w:r>
      <w:proofErr w:type="spellEnd"/>
      <w:r>
        <w:t xml:space="preserve"> pour traçabilité).</w:t>
      </w:r>
    </w:p>
    <w:p w14:paraId="08B09BE3" w14:textId="77777777" w:rsidR="00E237FE" w:rsidRDefault="004E65BF">
      <w:pPr>
        <w:pStyle w:val="Heading2"/>
        <w:ind w:left="-5"/>
      </w:pPr>
      <w:r>
        <w:t>3. Processus de nettoyage des données</w:t>
      </w:r>
    </w:p>
    <w:p w14:paraId="7A5917A6" w14:textId="77777777" w:rsidR="00E237FE" w:rsidRDefault="004E65BF">
      <w:pPr>
        <w:spacing w:after="223" w:line="259" w:lineRule="auto"/>
        <w:ind w:left="-2" w:right="-29" w:firstLine="0"/>
      </w:pPr>
      <w:r>
        <w:rPr>
          <w:noProof/>
          <w:sz w:val="22"/>
        </w:rPr>
        <mc:AlternateContent>
          <mc:Choice Requires="wpg">
            <w:drawing>
              <wp:inline distT="0" distB="0" distL="0" distR="0" wp14:anchorId="471EE775" wp14:editId="07A2434E">
                <wp:extent cx="5730875" cy="12700"/>
                <wp:effectExtent l="0" t="0" r="0" b="0"/>
                <wp:docPr id="5122" name="Group 5122"/>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226" name="Shape 226"/>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228" name="Shape 228"/>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22" style="width:451.25pt;height:1pt;mso-position-horizontal-relative:char;mso-position-vertical-relative:line" coordsize="57308,127">
                <v:shape id="Shape 226" style="position:absolute;width:57308;height:0;left:0;top:0;" coordsize="5730875,0" path="m5730875,0l0,0">
                  <v:stroke weight="1pt" endcap="flat" joinstyle="round" on="true" color="#1f4e78"/>
                  <v:fill on="false" color="#000000" opacity="0"/>
                </v:shape>
                <v:shape id="Shape 228" style="position:absolute;width:57308;height:0;left:0;top:0;" coordsize="5730875,0" path="m5730875,0l0,0">
                  <v:stroke weight="1pt" endcap="flat" joinstyle="round" on="true" color="#1f4e78"/>
                  <v:fill on="false" color="#000000" opacity="0"/>
                </v:shape>
              </v:group>
            </w:pict>
          </mc:Fallback>
        </mc:AlternateContent>
      </w:r>
    </w:p>
    <w:p w14:paraId="46ED3760" w14:textId="77777777" w:rsidR="00E237FE" w:rsidRDefault="004E65BF">
      <w:pPr>
        <w:spacing w:after="264"/>
      </w:pPr>
      <w:r>
        <w:t xml:space="preserve">Les étapes suivantes ont été appliquées et documentées dans l'onglet « </w:t>
      </w:r>
      <w:proofErr w:type="spellStart"/>
      <w:r>
        <w:t>Cleaning_Log</w:t>
      </w:r>
      <w:proofErr w:type="spellEnd"/>
      <w:r>
        <w:t xml:space="preserve"> » du classeur Excel livré :</w:t>
      </w:r>
    </w:p>
    <w:p w14:paraId="15724727" w14:textId="77777777" w:rsidR="00E237FE" w:rsidRDefault="004E65BF">
      <w:pPr>
        <w:pStyle w:val="Heading3"/>
        <w:ind w:left="-5"/>
      </w:pPr>
      <w:r>
        <w:t>3.1 Doublons et clés</w:t>
      </w:r>
    </w:p>
    <w:p w14:paraId="5C205E83" w14:textId="77777777" w:rsidR="00E237FE" w:rsidRDefault="004E65BF">
      <w:pPr>
        <w:spacing w:after="264"/>
      </w:pPr>
      <w:r>
        <w:t>Chaque pays est utilisé comme clé unique. Aucun doublon détecté sur les 54 pays. Les graphies de noms de pays ont été harmonisées (ex. « Côte d'Ivoire » → « Ivory Coast », « RD Congo » → « DR Congo ») pour éviter la création de clés dupliquées lors des jointures entre sources.</w:t>
      </w:r>
    </w:p>
    <w:p w14:paraId="60D69C08" w14:textId="77777777" w:rsidR="00E237FE" w:rsidRDefault="004E65BF">
      <w:pPr>
        <w:pStyle w:val="Heading3"/>
        <w:ind w:left="-5"/>
      </w:pPr>
      <w:r>
        <w:t>3.2 Valeurs manquantes</w:t>
      </w:r>
    </w:p>
    <w:p w14:paraId="242CD3F2" w14:textId="77777777" w:rsidR="00E237FE" w:rsidRDefault="004E65BF">
      <w:pPr>
        <w:spacing w:after="264"/>
      </w:pPr>
      <w:r>
        <w:t xml:space="preserve">Certains indicateurs (notamment la scolarisation secondaire, non publiée récemment pour une partie des petits pays et pays en conflit) présentaient des valeurs manquantes. Plutôt que de supprimer ces lignes </w:t>
      </w:r>
      <w:r>
        <w:lastRenderedPageBreak/>
        <w:t xml:space="preserve">— ce qui aurait biaisé l'analyse en excluant systématiquement les pays les plus fragiles — chaque valeur manquante a été imputée par la médiane de sa sous-région. Chaque imputation est tracée nominativement dans la colonne </w:t>
      </w:r>
      <w:proofErr w:type="spellStart"/>
      <w:r>
        <w:t>Data_Estimated_Flag</w:t>
      </w:r>
      <w:proofErr w:type="spellEnd"/>
      <w:r>
        <w:t>, garantissant la transparence méthodologique du jeu de données.</w:t>
      </w:r>
    </w:p>
    <w:p w14:paraId="66CBBA1C" w14:textId="77777777" w:rsidR="00E237FE" w:rsidRDefault="004E65BF">
      <w:pPr>
        <w:pStyle w:val="Heading3"/>
        <w:ind w:left="-5"/>
      </w:pPr>
      <w:r>
        <w:t>3.3 Incohérences et standardisation des formats</w:t>
      </w:r>
    </w:p>
    <w:p w14:paraId="30AFC427" w14:textId="77777777" w:rsidR="00E237FE" w:rsidRDefault="004E65BF">
      <w:pPr>
        <w:numPr>
          <w:ilvl w:val="0"/>
          <w:numId w:val="3"/>
        </w:numPr>
        <w:ind w:hanging="360"/>
      </w:pPr>
      <w:r>
        <w:t>Population et PIB convertis en entiers ; pourcentages arrondis à 1 décimale.</w:t>
      </w:r>
    </w:p>
    <w:p w14:paraId="6204C8EF" w14:textId="77777777" w:rsidR="00E237FE" w:rsidRDefault="004E65BF">
      <w:pPr>
        <w:numPr>
          <w:ilvl w:val="0"/>
          <w:numId w:val="3"/>
        </w:numPr>
        <w:ind w:hanging="360"/>
      </w:pPr>
      <w:r>
        <w:t>Unités harmonisées : tous les pourcentages exprimés sur une base 0-100 (et non 0-1).</w:t>
      </w:r>
    </w:p>
    <w:p w14:paraId="6C9D5E93" w14:textId="77777777" w:rsidR="00E237FE" w:rsidRDefault="004E65BF">
      <w:pPr>
        <w:numPr>
          <w:ilvl w:val="0"/>
          <w:numId w:val="3"/>
        </w:numPr>
        <w:spacing w:after="267"/>
        <w:ind w:hanging="360"/>
      </w:pPr>
      <w:r>
        <w:t>Année de référence (</w:t>
      </w:r>
      <w:proofErr w:type="spellStart"/>
      <w:r>
        <w:t>Literacy_Year</w:t>
      </w:r>
      <w:proofErr w:type="spellEnd"/>
      <w:r>
        <w:t>) conservée en entier pour permettre le tri chronologique.</w:t>
      </w:r>
    </w:p>
    <w:p w14:paraId="6C4220DD" w14:textId="77777777" w:rsidR="00E237FE" w:rsidRDefault="004E65BF">
      <w:pPr>
        <w:pStyle w:val="Heading3"/>
        <w:ind w:left="-5"/>
      </w:pPr>
      <w:r>
        <w:t>3.4 Colonnes calculées</w:t>
      </w:r>
    </w:p>
    <w:p w14:paraId="3FF3BB0B" w14:textId="77777777" w:rsidR="00E237FE" w:rsidRDefault="004E65BF">
      <w:pPr>
        <w:numPr>
          <w:ilvl w:val="0"/>
          <w:numId w:val="4"/>
        </w:numPr>
        <w:ind w:hanging="360"/>
      </w:pPr>
      <w:proofErr w:type="spellStart"/>
      <w:r>
        <w:t>Population_Millions</w:t>
      </w:r>
      <w:proofErr w:type="spellEnd"/>
      <w:r>
        <w:t xml:space="preserve"> — lecture facilitée de la population.</w:t>
      </w:r>
    </w:p>
    <w:p w14:paraId="045B591C" w14:textId="77777777" w:rsidR="00E237FE" w:rsidRDefault="004E65BF">
      <w:pPr>
        <w:numPr>
          <w:ilvl w:val="0"/>
          <w:numId w:val="4"/>
        </w:numPr>
        <w:ind w:hanging="360"/>
      </w:pPr>
      <w:proofErr w:type="spellStart"/>
      <w:r>
        <w:t>Literacy_Gender_Gap_pp</w:t>
      </w:r>
      <w:proofErr w:type="spellEnd"/>
      <w:r>
        <w:t xml:space="preserve"> — écart Hommes-Femmes en points de %.</w:t>
      </w:r>
    </w:p>
    <w:p w14:paraId="3F763EEB" w14:textId="77777777" w:rsidR="00E237FE" w:rsidRDefault="004E65BF">
      <w:pPr>
        <w:numPr>
          <w:ilvl w:val="0"/>
          <w:numId w:val="4"/>
        </w:numPr>
        <w:ind w:hanging="360"/>
      </w:pPr>
      <w:proofErr w:type="spellStart"/>
      <w:r>
        <w:t>Enrollment_Drop_Primary_to_Secondary_pp</w:t>
      </w:r>
      <w:proofErr w:type="spellEnd"/>
      <w:r>
        <w:t xml:space="preserve"> — décrochage entre scolarisation primaire et secondaire.</w:t>
      </w:r>
    </w:p>
    <w:p w14:paraId="36589C9B" w14:textId="77777777" w:rsidR="00E237FE" w:rsidRDefault="004E65BF">
      <w:pPr>
        <w:numPr>
          <w:ilvl w:val="0"/>
          <w:numId w:val="4"/>
        </w:numPr>
        <w:ind w:hanging="360"/>
      </w:pPr>
      <w:proofErr w:type="spellStart"/>
      <w:r>
        <w:t>Out_of_School_Risk_Index</w:t>
      </w:r>
      <w:proofErr w:type="spellEnd"/>
      <w:r>
        <w:t xml:space="preserve"> — indicateur simplifié de risque de non-scolarisation (100 − taux net primaire plafonné à 100).</w:t>
      </w:r>
    </w:p>
    <w:p w14:paraId="007CBAFB" w14:textId="77777777" w:rsidR="00E237FE" w:rsidRDefault="004E65BF">
      <w:pPr>
        <w:numPr>
          <w:ilvl w:val="0"/>
          <w:numId w:val="4"/>
        </w:numPr>
        <w:spacing w:after="420"/>
        <w:ind w:hanging="360"/>
      </w:pPr>
      <w:proofErr w:type="spellStart"/>
      <w:r>
        <w:t>Literacy_Category</w:t>
      </w:r>
      <w:proofErr w:type="spellEnd"/>
      <w:r>
        <w:t xml:space="preserve">, </w:t>
      </w:r>
      <w:proofErr w:type="spellStart"/>
      <w:r>
        <w:t>Education_Investment_Category</w:t>
      </w:r>
      <w:proofErr w:type="spellEnd"/>
      <w:r>
        <w:t xml:space="preserve">, </w:t>
      </w:r>
      <w:proofErr w:type="spellStart"/>
      <w:r>
        <w:t>GDP_per_capita_Category</w:t>
      </w:r>
      <w:proofErr w:type="spellEnd"/>
      <w:r>
        <w:t xml:space="preserve"> — catégorisations utilisées comme filtres dans le tableau de bord.</w:t>
      </w:r>
    </w:p>
    <w:p w14:paraId="4C1DEC66" w14:textId="77777777" w:rsidR="00E237FE" w:rsidRDefault="004E65BF">
      <w:pPr>
        <w:pStyle w:val="Heading2"/>
        <w:ind w:left="-5"/>
      </w:pPr>
      <w:r>
        <w:t>4. Méthodologie d'analyse</w:t>
      </w:r>
    </w:p>
    <w:p w14:paraId="3302EE42" w14:textId="77777777" w:rsidR="00E237FE" w:rsidRDefault="004E65BF">
      <w:pPr>
        <w:spacing w:after="224" w:line="259" w:lineRule="auto"/>
        <w:ind w:left="-2" w:right="-29" w:firstLine="0"/>
      </w:pPr>
      <w:r>
        <w:rPr>
          <w:noProof/>
          <w:sz w:val="22"/>
        </w:rPr>
        <mc:AlternateContent>
          <mc:Choice Requires="wpg">
            <w:drawing>
              <wp:inline distT="0" distB="0" distL="0" distR="0" wp14:anchorId="76FCCBF8" wp14:editId="5B29D19E">
                <wp:extent cx="5730875" cy="12700"/>
                <wp:effectExtent l="0" t="0" r="0" b="0"/>
                <wp:docPr id="5123" name="Group 5123"/>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227" name="Shape 227"/>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229" name="Shape 229"/>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23" style="width:451.25pt;height:1pt;mso-position-horizontal-relative:char;mso-position-vertical-relative:line" coordsize="57308,127">
                <v:shape id="Shape 227" style="position:absolute;width:57308;height:0;left:0;top:0;" coordsize="5730875,0" path="m5730875,0l0,0">
                  <v:stroke weight="1pt" endcap="flat" joinstyle="round" on="true" color="#1f4e78"/>
                  <v:fill on="false" color="#000000" opacity="0"/>
                </v:shape>
                <v:shape id="Shape 229" style="position:absolute;width:57308;height:0;left:0;top:0;" coordsize="5730875,0" path="m5730875,0l0,0">
                  <v:stroke weight="1pt" endcap="flat" joinstyle="round" on="true" color="#1f4e78"/>
                  <v:fill on="false" color="#000000" opacity="0"/>
                </v:shape>
              </v:group>
            </w:pict>
          </mc:Fallback>
        </mc:AlternateContent>
      </w:r>
    </w:p>
    <w:p w14:paraId="127B19D2" w14:textId="77777777" w:rsidR="00E237FE" w:rsidRDefault="004E65BF">
      <w:r>
        <w:t>L'analyse combine trois approches complémentaires :</w:t>
      </w:r>
    </w:p>
    <w:p w14:paraId="179A377A" w14:textId="77777777" w:rsidR="00E237FE" w:rsidRDefault="004E65BF">
      <w:pPr>
        <w:numPr>
          <w:ilvl w:val="0"/>
          <w:numId w:val="5"/>
        </w:numPr>
        <w:ind w:hanging="360"/>
      </w:pPr>
      <w:r>
        <w:t xml:space="preserve">Analyse descriptive régionale : moyennes et médianes des indicateurs par sous-région (Nord, Ouest, Est, Centre, Australe), calculées avec des formules Excel dynamiques (AVERAGEIF/SUMIF) pour rester </w:t>
      </w:r>
      <w:proofErr w:type="spellStart"/>
      <w:r>
        <w:t>recalculables</w:t>
      </w:r>
      <w:proofErr w:type="spellEnd"/>
      <w:r>
        <w:t xml:space="preserve"> si le jeu de données évolue.</w:t>
      </w:r>
    </w:p>
    <w:p w14:paraId="124F00EA" w14:textId="77777777" w:rsidR="00E237FE" w:rsidRDefault="004E65BF">
      <w:pPr>
        <w:numPr>
          <w:ilvl w:val="0"/>
          <w:numId w:val="5"/>
        </w:numPr>
        <w:ind w:hanging="360"/>
      </w:pPr>
      <w:r>
        <w:t>Analyse comparative pays : classement des pays extrêmes (meilleurs/pires taux d'alphabétisation, plus fort décrochage primaire-secondaire) pour cibler les priorités d'intervention.</w:t>
      </w:r>
    </w:p>
    <w:p w14:paraId="7BE2D052" w14:textId="77777777" w:rsidR="00E237FE" w:rsidRDefault="004E65BF">
      <w:pPr>
        <w:numPr>
          <w:ilvl w:val="0"/>
          <w:numId w:val="5"/>
        </w:numPr>
        <w:ind w:hanging="360"/>
      </w:pPr>
      <w:r>
        <w:t>Analyse de corrélation : mise en relation des dépenses d'éducation et du PIB par habitant avec le taux d'alphabétisation, afin de tester l'hypothèse selon laquelle la richesse et l'investissement public expliquent les écarts éducatifs.</w:t>
      </w:r>
    </w:p>
    <w:p w14:paraId="475EC649" w14:textId="77777777" w:rsidR="00E237FE" w:rsidRDefault="004E65BF">
      <w:pPr>
        <w:spacing w:after="421"/>
      </w:pPr>
      <w:r>
        <w:t>Les outils utilisés sont Python (pandas) pour le nettoyage et les statistiques, Excel pour la structuration des données et les agrégats dynamiques, et Power BI pour la visualisation interactive finale (voir section 7 et Annexe).</w:t>
      </w:r>
    </w:p>
    <w:p w14:paraId="19E9B8F6" w14:textId="77777777" w:rsidR="00E237FE" w:rsidRDefault="004E65BF">
      <w:pPr>
        <w:pStyle w:val="Heading2"/>
        <w:ind w:left="-5"/>
      </w:pPr>
      <w:r>
        <w:t>5. Principales conclusions</w:t>
      </w:r>
    </w:p>
    <w:p w14:paraId="3669720F" w14:textId="77777777" w:rsidR="00E237FE" w:rsidRDefault="004E65BF">
      <w:pPr>
        <w:spacing w:after="278" w:line="259" w:lineRule="auto"/>
        <w:ind w:left="-2" w:right="-29" w:firstLine="0"/>
      </w:pPr>
      <w:r>
        <w:rPr>
          <w:noProof/>
          <w:sz w:val="22"/>
        </w:rPr>
        <mc:AlternateContent>
          <mc:Choice Requires="wpg">
            <w:drawing>
              <wp:inline distT="0" distB="0" distL="0" distR="0" wp14:anchorId="6E5B8338" wp14:editId="47C5FFF7">
                <wp:extent cx="5730875" cy="12700"/>
                <wp:effectExtent l="0" t="0" r="0" b="0"/>
                <wp:docPr id="4746" name="Group 4746"/>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272" name="Shape 272"/>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273" name="Shape 273"/>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46" style="width:451.25pt;height:1pt;mso-position-horizontal-relative:char;mso-position-vertical-relative:line" coordsize="57308,127">
                <v:shape id="Shape 272" style="position:absolute;width:57308;height:0;left:0;top:0;" coordsize="5730875,0" path="m5730875,0l0,0">
                  <v:stroke weight="1pt" endcap="flat" joinstyle="round" on="true" color="#1f4e78"/>
                  <v:fill on="false" color="#000000" opacity="0"/>
                </v:shape>
                <v:shape id="Shape 273" style="position:absolute;width:57308;height:0;left:0;top:0;" coordsize="5730875,0" path="m5730875,0l0,0">
                  <v:stroke weight="1pt" endcap="flat" joinstyle="round" on="true" color="#1f4e78"/>
                  <v:fill on="false" color="#000000" opacity="0"/>
                </v:shape>
              </v:group>
            </w:pict>
          </mc:Fallback>
        </mc:AlternateContent>
      </w:r>
    </w:p>
    <w:p w14:paraId="0649883D" w14:textId="77777777" w:rsidR="00E237FE" w:rsidRDefault="004E65BF">
      <w:pPr>
        <w:pStyle w:val="Heading3"/>
        <w:spacing w:after="0"/>
        <w:ind w:left="-5"/>
      </w:pPr>
      <w:r>
        <w:lastRenderedPageBreak/>
        <w:t>5.1 Un fossé Nord-Sud / Est-Ouest marqué en alphabétisation</w:t>
      </w:r>
    </w:p>
    <w:p w14:paraId="4DFC3705" w14:textId="77777777" w:rsidR="00E237FE" w:rsidRDefault="004E65BF">
      <w:pPr>
        <w:spacing w:after="129" w:line="259" w:lineRule="auto"/>
        <w:ind w:left="102" w:firstLine="0"/>
      </w:pPr>
      <w:r>
        <w:rPr>
          <w:noProof/>
        </w:rPr>
        <w:drawing>
          <wp:inline distT="0" distB="0" distL="0" distR="0" wp14:anchorId="11F9940E" wp14:editId="0792D665">
            <wp:extent cx="5599105" cy="2919730"/>
            <wp:effectExtent l="0" t="0" r="1905"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7">
                      <a:extLst>
                        <a:ext uri="{28A0092B-C50C-407E-A947-70E740481C1C}">
                          <a14:useLocalDpi xmlns:a14="http://schemas.microsoft.com/office/drawing/2010/main" val="0"/>
                        </a:ext>
                      </a:extLst>
                    </a:blip>
                    <a:stretch>
                      <a:fillRect/>
                    </a:stretch>
                  </pic:blipFill>
                  <pic:spPr>
                    <a:xfrm>
                      <a:off x="0" y="0"/>
                      <a:ext cx="5605381" cy="2923003"/>
                    </a:xfrm>
                    <a:prstGeom prst="rect">
                      <a:avLst/>
                    </a:prstGeom>
                  </pic:spPr>
                </pic:pic>
              </a:graphicData>
            </a:graphic>
          </wp:inline>
        </w:drawing>
      </w:r>
    </w:p>
    <w:p w14:paraId="5FD790C2" w14:textId="77777777" w:rsidR="00E237FE" w:rsidRDefault="004E65BF">
      <w:pPr>
        <w:spacing w:after="279" w:line="259" w:lineRule="auto"/>
        <w:ind w:left="22" w:right="1"/>
        <w:jc w:val="center"/>
      </w:pPr>
      <w:r>
        <w:rPr>
          <w:i/>
          <w:color w:val="595959"/>
          <w:sz w:val="18"/>
        </w:rPr>
        <w:t>Figure 1 — Taux d'alphabétisation moyen des adultes par région d'Afrique</w:t>
      </w:r>
    </w:p>
    <w:p w14:paraId="6BD9496D" w14:textId="77777777" w:rsidR="00E237FE" w:rsidRDefault="004E65BF">
      <w:r>
        <w:t>Le taux d'alphabétisation moyen des adultes en Afrique s'établit à 68,5 %. L'Afrique australe (81,9 %) et l'Afrique du Nord (76,7 %) affichent les meilleurs résultats, portées par le Botswana, la Namibie, l'Afrique du Sud, la Tunisie et l'Algérie. À l'inverse, l'Afrique de l'Ouest accuse un retard structurel avec seulement 55,2 % en moyenne, tirée vers le bas par le Tchad, le Niger, le Mali et le Burkina Faso, tous sous la barre des 40 %.</w:t>
      </w:r>
    </w:p>
    <w:p w14:paraId="09E2CA78" w14:textId="77777777" w:rsidR="00E237FE" w:rsidRDefault="004E65BF">
      <w:pPr>
        <w:spacing w:after="129" w:line="259" w:lineRule="auto"/>
        <w:ind w:left="-2" w:right="-295" w:firstLine="0"/>
      </w:pPr>
      <w:r>
        <w:rPr>
          <w:noProof/>
        </w:rPr>
        <w:drawing>
          <wp:inline distT="0" distB="0" distL="0" distR="0" wp14:anchorId="6D17D514" wp14:editId="4656432C">
            <wp:extent cx="5899785" cy="267970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8"/>
                    <a:stretch>
                      <a:fillRect/>
                    </a:stretch>
                  </pic:blipFill>
                  <pic:spPr>
                    <a:xfrm>
                      <a:off x="0" y="0"/>
                      <a:ext cx="5899785" cy="2679700"/>
                    </a:xfrm>
                    <a:prstGeom prst="rect">
                      <a:avLst/>
                    </a:prstGeom>
                  </pic:spPr>
                </pic:pic>
              </a:graphicData>
            </a:graphic>
          </wp:inline>
        </w:drawing>
      </w:r>
    </w:p>
    <w:p w14:paraId="5C7E1869" w14:textId="77777777" w:rsidR="00E237FE" w:rsidRDefault="004E65BF">
      <w:pPr>
        <w:spacing w:after="279" w:line="259" w:lineRule="auto"/>
        <w:ind w:left="22" w:right="2"/>
        <w:jc w:val="center"/>
      </w:pPr>
      <w:r>
        <w:rPr>
          <w:i/>
          <w:color w:val="595959"/>
          <w:sz w:val="18"/>
        </w:rPr>
        <w:t>Figure 2 — Pays aux taux d'alphabétisation les plus faibles et les plus élevés</w:t>
      </w:r>
    </w:p>
    <w:p w14:paraId="6C7B6489" w14:textId="77777777" w:rsidR="00E237FE" w:rsidRDefault="004E65BF">
      <w:pPr>
        <w:spacing w:after="264"/>
      </w:pPr>
      <w:r>
        <w:t>Le Tchad (22,3 %), le Soudan du Sud (34,5 %) et le Niger (35,1 %) forment le trio des pays les plus en difficulté, tous situés dans la bande sahélienne. À l'opposé, les Seychelles (95,9 %), la Namibie (91,5 %) et l'Équateur… (Guinée équatoriale, 95,3 %) illustrent qu'un fort taux d'alphabétisation est atteignable indépendamment de la taille du pays.</w:t>
      </w:r>
    </w:p>
    <w:p w14:paraId="54CCC74A" w14:textId="77777777" w:rsidR="00E237FE" w:rsidRDefault="004E65BF">
      <w:pPr>
        <w:pStyle w:val="Heading3"/>
        <w:spacing w:after="0"/>
        <w:ind w:left="-5"/>
      </w:pPr>
      <w:r>
        <w:lastRenderedPageBreak/>
        <w:t>5.2 Un écart de genre qui reste la norme, mais très inégal selon les régions</w:t>
      </w:r>
    </w:p>
    <w:p w14:paraId="4F0654E6" w14:textId="77777777" w:rsidR="00E237FE" w:rsidRDefault="004E65BF">
      <w:pPr>
        <w:spacing w:after="129" w:line="259" w:lineRule="auto"/>
        <w:ind w:left="102" w:firstLine="0"/>
      </w:pPr>
      <w:r>
        <w:rPr>
          <w:noProof/>
        </w:rPr>
        <w:drawing>
          <wp:inline distT="0" distB="0" distL="0" distR="0" wp14:anchorId="765BBFD4" wp14:editId="63C089EF">
            <wp:extent cx="5577840" cy="3149867"/>
            <wp:effectExtent l="0" t="0" r="381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9">
                      <a:extLst>
                        <a:ext uri="{28A0092B-C50C-407E-A947-70E740481C1C}">
                          <a14:useLocalDpi xmlns:a14="http://schemas.microsoft.com/office/drawing/2010/main" val="0"/>
                        </a:ext>
                      </a:extLst>
                    </a:blip>
                    <a:stretch>
                      <a:fillRect/>
                    </a:stretch>
                  </pic:blipFill>
                  <pic:spPr>
                    <a:xfrm>
                      <a:off x="0" y="0"/>
                      <a:ext cx="5596015" cy="3160131"/>
                    </a:xfrm>
                    <a:prstGeom prst="rect">
                      <a:avLst/>
                    </a:prstGeom>
                  </pic:spPr>
                </pic:pic>
              </a:graphicData>
            </a:graphic>
          </wp:inline>
        </w:drawing>
      </w:r>
    </w:p>
    <w:p w14:paraId="40F3CE6D" w14:textId="77777777" w:rsidR="00E237FE" w:rsidRDefault="004E65BF">
      <w:pPr>
        <w:spacing w:after="279" w:line="259" w:lineRule="auto"/>
        <w:ind w:left="22"/>
        <w:jc w:val="center"/>
      </w:pPr>
      <w:r>
        <w:rPr>
          <w:i/>
          <w:color w:val="595959"/>
          <w:sz w:val="18"/>
        </w:rPr>
        <w:t>Figure 3 — Écart d'alphabétisation Hommes-Femmes par région (points de %)</w:t>
      </w:r>
    </w:p>
    <w:p w14:paraId="64430163" w14:textId="77777777" w:rsidR="00E237FE" w:rsidRDefault="004E65BF">
      <w:r>
        <w:t>L'écart moyen d'alphabétisation entre hommes et femmes atteint 12,3 points de pourcentage sur le continent, toujours en faveur des hommes. Il est particulièrement marqué en Afrique de l'Ouest (19,0 points), avec des pays comme la Guinée (26,7 points) ou le Sénégal (25,0 points) où l'écart dépasse 25 points. L'Afrique australe se distingue par un écart résiduel de seulement 5,2 points, certains pays comme le Lesotho affichant même un taux d'alphabétisation féminin supérieur à celui des hommes.</w:t>
      </w:r>
    </w:p>
    <w:p w14:paraId="79993257" w14:textId="77777777" w:rsidR="00E237FE" w:rsidRDefault="004E65BF">
      <w:pPr>
        <w:pStyle w:val="Heading3"/>
        <w:spacing w:after="0"/>
        <w:ind w:left="-5"/>
      </w:pPr>
      <w:r>
        <w:t>5.3 L'investissement public en éducation n'explique qu'une partie des écarts</w:t>
      </w:r>
    </w:p>
    <w:p w14:paraId="052D2BB8" w14:textId="77777777" w:rsidR="00E237FE" w:rsidRDefault="004E65BF">
      <w:pPr>
        <w:spacing w:after="129" w:line="259" w:lineRule="auto"/>
        <w:ind w:left="338" w:firstLine="0"/>
      </w:pPr>
      <w:r>
        <w:rPr>
          <w:noProof/>
        </w:rPr>
        <w:drawing>
          <wp:inline distT="0" distB="0" distL="0" distR="0" wp14:anchorId="4A945ED0" wp14:editId="3CF5EE2C">
            <wp:extent cx="5455285" cy="3596640"/>
            <wp:effectExtent l="0" t="0" r="0" b="381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0">
                      <a:extLst>
                        <a:ext uri="{28A0092B-C50C-407E-A947-70E740481C1C}">
                          <a14:useLocalDpi xmlns:a14="http://schemas.microsoft.com/office/drawing/2010/main" val="0"/>
                        </a:ext>
                      </a:extLst>
                    </a:blip>
                    <a:stretch>
                      <a:fillRect/>
                    </a:stretch>
                  </pic:blipFill>
                  <pic:spPr>
                    <a:xfrm>
                      <a:off x="0" y="0"/>
                      <a:ext cx="5455426" cy="3596733"/>
                    </a:xfrm>
                    <a:prstGeom prst="rect">
                      <a:avLst/>
                    </a:prstGeom>
                  </pic:spPr>
                </pic:pic>
              </a:graphicData>
            </a:graphic>
          </wp:inline>
        </w:drawing>
      </w:r>
    </w:p>
    <w:p w14:paraId="30F2EBEA" w14:textId="77777777" w:rsidR="00E237FE" w:rsidRDefault="004E65BF">
      <w:pPr>
        <w:spacing w:after="279" w:line="259" w:lineRule="auto"/>
        <w:ind w:left="22" w:right="2"/>
        <w:jc w:val="center"/>
      </w:pPr>
      <w:r>
        <w:rPr>
          <w:i/>
          <w:color w:val="595959"/>
          <w:sz w:val="18"/>
        </w:rPr>
        <w:t>Figure 4 — Dépenses d'éducation (% du PIB) vs taux d'alphabétisation, par région (taille = population)</w:t>
      </w:r>
    </w:p>
    <w:p w14:paraId="72514114" w14:textId="77777777" w:rsidR="00E237FE" w:rsidRDefault="004E65BF">
      <w:r>
        <w:lastRenderedPageBreak/>
        <w:t>La corrélation entre les dépenses publiques d'éducation (% du PIB) et le taux d'alphabétisation est positive mais modérée (coefficient ≈ 0,27) : dépenser plus ne suffit pas mécaniquement à mieux alphabétiser. En revanche, la corrélation entre le PIB par habitant (PPA) et l'alphabétisation est plus forte (≈ 0,59), suggérant que le niveau de développement économique global — infrastructures, stabilité, accès aux services — pèse davantage que le seul ratio budgétaire. Des pays comme le Burundi ou l'Éthiopie co</w:t>
      </w:r>
      <w:r>
        <w:t>nsacrent une part de PIB comparable à des pays plus alphabétisés, mais avec des résultats nettement inférieurs, ce qui pointe vers des enjeux d'efficacité de la dépense plus que de volume.</w:t>
      </w:r>
    </w:p>
    <w:p w14:paraId="323A8AA3" w14:textId="77777777" w:rsidR="00E237FE" w:rsidRDefault="004E65BF">
      <w:pPr>
        <w:pStyle w:val="Heading3"/>
        <w:spacing w:after="0"/>
        <w:ind w:left="-5"/>
      </w:pPr>
      <w:r>
        <w:t>5.4 Un fort décrochage entre le primaire et le secondaire</w:t>
      </w:r>
    </w:p>
    <w:p w14:paraId="0AE55820" w14:textId="77777777" w:rsidR="00E237FE" w:rsidRDefault="004E65BF">
      <w:pPr>
        <w:spacing w:after="129" w:line="259" w:lineRule="auto"/>
        <w:ind w:left="102" w:firstLine="0"/>
      </w:pPr>
      <w:r>
        <w:rPr>
          <w:noProof/>
        </w:rPr>
        <w:drawing>
          <wp:inline distT="0" distB="0" distL="0" distR="0" wp14:anchorId="3C180776" wp14:editId="6F978156">
            <wp:extent cx="5661660" cy="3145155"/>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1">
                      <a:extLst>
                        <a:ext uri="{28A0092B-C50C-407E-A947-70E740481C1C}">
                          <a14:useLocalDpi xmlns:a14="http://schemas.microsoft.com/office/drawing/2010/main" val="0"/>
                        </a:ext>
                      </a:extLst>
                    </a:blip>
                    <a:stretch>
                      <a:fillRect/>
                    </a:stretch>
                  </pic:blipFill>
                  <pic:spPr>
                    <a:xfrm>
                      <a:off x="0" y="0"/>
                      <a:ext cx="5662792" cy="3145784"/>
                    </a:xfrm>
                    <a:prstGeom prst="rect">
                      <a:avLst/>
                    </a:prstGeom>
                  </pic:spPr>
                </pic:pic>
              </a:graphicData>
            </a:graphic>
          </wp:inline>
        </w:drawing>
      </w:r>
    </w:p>
    <w:p w14:paraId="1B726CFD" w14:textId="77777777" w:rsidR="00E237FE" w:rsidRDefault="004E65BF">
      <w:pPr>
        <w:spacing w:after="279" w:line="259" w:lineRule="auto"/>
        <w:ind w:left="22" w:right="1"/>
        <w:jc w:val="center"/>
      </w:pPr>
      <w:r>
        <w:rPr>
          <w:i/>
          <w:color w:val="595959"/>
          <w:sz w:val="18"/>
        </w:rPr>
        <w:t>Figure 5 — Taux de scolarisation brut primaire vs secondaire par région</w:t>
      </w:r>
    </w:p>
    <w:p w14:paraId="0FCBE394" w14:textId="77777777" w:rsidR="00E237FE" w:rsidRDefault="004E65BF">
      <w:pPr>
        <w:spacing w:after="0"/>
      </w:pPr>
      <w:r>
        <w:t>Si la scolarisation primaire brute dépasse 100 % dans la plupart des régions (reflet des redoublements et entrées tardives plutôt que d'une couverture universelle réelle), la chute au secondaire est spectaculaire : de 102,4 % en moyenne au primaire, l'Afrique de l'Est retombe à 48,8 % au secondaire, l'Afrique de l'Ouest à 47,6 %, et l'Afrique centrale s'effondre à seulement 23,5 %. Seule l'Afrique du Nord parvient à maintenir une transition correcte (104,3 % → 91,7 %). Ce décrochage constitue le principal g</w:t>
      </w:r>
      <w:r>
        <w:t>oulot d'étranglement du système éducatif africain.</w:t>
      </w:r>
    </w:p>
    <w:p w14:paraId="1BE66B0D" w14:textId="77777777" w:rsidR="00E237FE" w:rsidRDefault="004E65BF">
      <w:pPr>
        <w:spacing w:after="129" w:line="259" w:lineRule="auto"/>
        <w:ind w:left="102" w:firstLine="0"/>
      </w:pPr>
      <w:r>
        <w:rPr>
          <w:noProof/>
        </w:rPr>
        <w:lastRenderedPageBreak/>
        <w:drawing>
          <wp:inline distT="0" distB="0" distL="0" distR="0" wp14:anchorId="231BB10E" wp14:editId="18D91019">
            <wp:extent cx="5532120" cy="3499485"/>
            <wp:effectExtent l="0" t="0" r="0" b="5715"/>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2">
                      <a:extLst>
                        <a:ext uri="{28A0092B-C50C-407E-A947-70E740481C1C}">
                          <a14:useLocalDpi xmlns:a14="http://schemas.microsoft.com/office/drawing/2010/main" val="0"/>
                        </a:ext>
                      </a:extLst>
                    </a:blip>
                    <a:stretch>
                      <a:fillRect/>
                    </a:stretch>
                  </pic:blipFill>
                  <pic:spPr>
                    <a:xfrm>
                      <a:off x="0" y="0"/>
                      <a:ext cx="5548453" cy="3509817"/>
                    </a:xfrm>
                    <a:prstGeom prst="rect">
                      <a:avLst/>
                    </a:prstGeom>
                  </pic:spPr>
                </pic:pic>
              </a:graphicData>
            </a:graphic>
          </wp:inline>
        </w:drawing>
      </w:r>
    </w:p>
    <w:p w14:paraId="71A593BB" w14:textId="77777777" w:rsidR="00E237FE" w:rsidRDefault="004E65BF">
      <w:pPr>
        <w:spacing w:after="279" w:line="259" w:lineRule="auto"/>
        <w:ind w:left="22"/>
        <w:jc w:val="center"/>
      </w:pPr>
      <w:r>
        <w:rPr>
          <w:i/>
          <w:color w:val="595959"/>
          <w:sz w:val="18"/>
        </w:rPr>
        <w:t>Figure 6 — Répartition des pays par catégorie d'alphabétisation et région</w:t>
      </w:r>
    </w:p>
    <w:p w14:paraId="78216E1B" w14:textId="77777777" w:rsidR="00E237FE" w:rsidRDefault="004E65BF">
      <w:pPr>
        <w:spacing w:after="421"/>
      </w:pPr>
      <w:r>
        <w:t>Cette vue confirme la concentration des pays en situation « critique » (moins de 50 % d'alphabétisation) en Afrique de l'Ouest et, dans une moindre mesure, en Afrique centrale et de l'Est — les trois régions qui doivent concentrer l'essentiel des efforts internationaux.</w:t>
      </w:r>
    </w:p>
    <w:p w14:paraId="358A07B5" w14:textId="77777777" w:rsidR="00E237FE" w:rsidRDefault="004E65BF">
      <w:pPr>
        <w:pStyle w:val="Heading2"/>
        <w:ind w:left="-5"/>
      </w:pPr>
      <w:r>
        <w:t>6. Insights</w:t>
      </w:r>
    </w:p>
    <w:p w14:paraId="0B567503" w14:textId="77777777" w:rsidR="00E237FE" w:rsidRDefault="004E65BF">
      <w:pPr>
        <w:spacing w:after="223" w:line="259" w:lineRule="auto"/>
        <w:ind w:left="-2" w:right="-29" w:firstLine="0"/>
      </w:pPr>
      <w:r>
        <w:rPr>
          <w:noProof/>
          <w:sz w:val="22"/>
        </w:rPr>
        <mc:AlternateContent>
          <mc:Choice Requires="wpg">
            <w:drawing>
              <wp:inline distT="0" distB="0" distL="0" distR="0" wp14:anchorId="382EED32" wp14:editId="7B4E68C2">
                <wp:extent cx="5730875" cy="12700"/>
                <wp:effectExtent l="0" t="0" r="0" b="0"/>
                <wp:docPr id="4982" name="Group 4982"/>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411" name="Shape 411"/>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413" name="Shape 413"/>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2" style="width:451.25pt;height:1pt;mso-position-horizontal-relative:char;mso-position-vertical-relative:line" coordsize="57308,127">
                <v:shape id="Shape 411" style="position:absolute;width:57308;height:0;left:0;top:0;" coordsize="5730875,0" path="m5730875,0l0,0">
                  <v:stroke weight="1pt" endcap="flat" joinstyle="round" on="true" color="#1f4e78"/>
                  <v:fill on="false" color="#000000" opacity="0"/>
                </v:shape>
                <v:shape id="Shape 413" style="position:absolute;width:57308;height:0;left:0;top:0;" coordsize="5730875,0" path="m5730875,0l0,0">
                  <v:stroke weight="1pt" endcap="flat" joinstyle="round" on="true" color="#1f4e78"/>
                  <v:fill on="false" color="#000000" opacity="0"/>
                </v:shape>
              </v:group>
            </w:pict>
          </mc:Fallback>
        </mc:AlternateContent>
      </w:r>
    </w:p>
    <w:p w14:paraId="0ED3A7CB" w14:textId="77777777" w:rsidR="00E237FE" w:rsidRDefault="004E65BF">
      <w:pPr>
        <w:numPr>
          <w:ilvl w:val="0"/>
          <w:numId w:val="6"/>
        </w:numPr>
        <w:ind w:hanging="360"/>
      </w:pPr>
      <w:r>
        <w:t>L'Afrique de l'Ouest cumule les trois signaux d'alerte : alphabétisation la plus faible (55,2 %), écart de genre le plus élevé (19,0 points) et scolarisation secondaire parmi les plus basses (47,6 %) — elle doit être la priorité continentale.</w:t>
      </w:r>
    </w:p>
    <w:p w14:paraId="68D8D6F5" w14:textId="77777777" w:rsidR="00E237FE" w:rsidRDefault="004E65BF">
      <w:pPr>
        <w:numPr>
          <w:ilvl w:val="0"/>
          <w:numId w:val="6"/>
        </w:numPr>
        <w:ind w:hanging="360"/>
      </w:pPr>
      <w:r>
        <w:t>La richesse économique (PIB/habitant) est un meilleur prédicteur du niveau d'alphabétisation que le seul taux de dépense publique en % du PIB, ce qui plaide pour des politiques combinant croissance économique et efficacité de la dépense éducative, pas seulement son volume.</w:t>
      </w:r>
    </w:p>
    <w:p w14:paraId="61BB6864" w14:textId="77777777" w:rsidR="00E237FE" w:rsidRDefault="004E65BF">
      <w:pPr>
        <w:numPr>
          <w:ilvl w:val="0"/>
          <w:numId w:val="6"/>
        </w:numPr>
        <w:ind w:hanging="360"/>
      </w:pPr>
      <w:r>
        <w:t>Le vrai point de rupture du système éducatif africain n'est pas l'accès au primaire (déjà proche ou au-delà de 100 % en moyenne), mais la transition vers le secondaire, où la couverture chute de moitié ou plus dans 4 régions sur 5.</w:t>
      </w:r>
    </w:p>
    <w:p w14:paraId="6DA0BA0A" w14:textId="77777777" w:rsidR="00E237FE" w:rsidRDefault="004E65BF">
      <w:pPr>
        <w:numPr>
          <w:ilvl w:val="0"/>
          <w:numId w:val="6"/>
        </w:numPr>
        <w:ind w:hanging="360"/>
      </w:pPr>
      <w:r>
        <w:t>L'écart de genre est loin d'être homogène : il est structurel en Afrique de l'Ouest (bassin sahélien) et quasiment résorbé en Afrique australe, ce qui montre qu'il n'est pas une fatalité mais le résultat de politiques et contextes sociaux différenciés.</w:t>
      </w:r>
    </w:p>
    <w:p w14:paraId="4A0DF92F" w14:textId="77777777" w:rsidR="00E237FE" w:rsidRDefault="004E65BF">
      <w:pPr>
        <w:numPr>
          <w:ilvl w:val="0"/>
          <w:numId w:val="6"/>
        </w:numPr>
        <w:spacing w:after="420"/>
        <w:ind w:hanging="360"/>
      </w:pPr>
      <w:r>
        <w:t>Des pays à revenu comparable affichent des résultats éducatifs très différents (ex. Rwanda vs Burundi), suggérant que la gouvernance et la priorité politique donnée à l'éducation comptent autant que la richesse disponible.</w:t>
      </w:r>
    </w:p>
    <w:p w14:paraId="151D5B1D" w14:textId="77777777" w:rsidR="00E237FE" w:rsidRDefault="004E65BF">
      <w:pPr>
        <w:pStyle w:val="Heading2"/>
        <w:ind w:left="-5"/>
      </w:pPr>
      <w:r>
        <w:lastRenderedPageBreak/>
        <w:t>7. Recommandations</w:t>
      </w:r>
    </w:p>
    <w:p w14:paraId="223D359D" w14:textId="77777777" w:rsidR="00E237FE" w:rsidRDefault="004E65BF">
      <w:pPr>
        <w:spacing w:after="279" w:line="259" w:lineRule="auto"/>
        <w:ind w:left="-2" w:right="-29" w:firstLine="0"/>
      </w:pPr>
      <w:r>
        <w:rPr>
          <w:noProof/>
          <w:sz w:val="22"/>
        </w:rPr>
        <mc:AlternateContent>
          <mc:Choice Requires="wpg">
            <w:drawing>
              <wp:inline distT="0" distB="0" distL="0" distR="0" wp14:anchorId="0A15D344" wp14:editId="025683B1">
                <wp:extent cx="5730875" cy="12700"/>
                <wp:effectExtent l="0" t="0" r="0" b="0"/>
                <wp:docPr id="4983" name="Group 4983"/>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412" name="Shape 412"/>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414" name="Shape 414"/>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3" style="width:451.25pt;height:1pt;mso-position-horizontal-relative:char;mso-position-vertical-relative:line" coordsize="57308,127">
                <v:shape id="Shape 412" style="position:absolute;width:57308;height:0;left:0;top:0;" coordsize="5730875,0" path="m5730875,0l0,0">
                  <v:stroke weight="1pt" endcap="flat" joinstyle="round" on="true" color="#1f4e78"/>
                  <v:fill on="false" color="#000000" opacity="0"/>
                </v:shape>
                <v:shape id="Shape 414" style="position:absolute;width:57308;height:0;left:0;top:0;" coordsize="5730875,0" path="m5730875,0l0,0">
                  <v:stroke weight="1pt" endcap="flat" joinstyle="round" on="true" color="#1f4e78"/>
                  <v:fill on="false" color="#000000" opacity="0"/>
                </v:shape>
              </v:group>
            </w:pict>
          </mc:Fallback>
        </mc:AlternateContent>
      </w:r>
    </w:p>
    <w:p w14:paraId="213E85DA" w14:textId="77777777" w:rsidR="00E237FE" w:rsidRDefault="004E65BF">
      <w:pPr>
        <w:pStyle w:val="Heading3"/>
        <w:ind w:left="-5"/>
      </w:pPr>
      <w:r>
        <w:t>7.1 Pour les gouvernements et ministères de l'Éducation</w:t>
      </w:r>
    </w:p>
    <w:p w14:paraId="76A1D069" w14:textId="77777777" w:rsidR="00E237FE" w:rsidRDefault="004E65BF">
      <w:pPr>
        <w:numPr>
          <w:ilvl w:val="0"/>
          <w:numId w:val="7"/>
        </w:numPr>
        <w:spacing w:after="89"/>
        <w:ind w:hanging="360"/>
      </w:pPr>
      <w:r>
        <w:t>Concentrer les programmes d'alphabétisation des adultes et de rattrapage scolaire sur les pays « critiques » (Tchad, Soudan du Sud, Niger, Mali, Burkina Faso, Guinée) où le taux est inférieur à 50 %.</w:t>
      </w:r>
    </w:p>
    <w:p w14:paraId="38C552A4" w14:textId="77777777" w:rsidR="00E237FE" w:rsidRDefault="004E65BF">
      <w:pPr>
        <w:numPr>
          <w:ilvl w:val="0"/>
          <w:numId w:val="7"/>
        </w:numPr>
        <w:ind w:hanging="360"/>
      </w:pPr>
      <w:r>
        <w:t>Prioriser des politiques ciblées de maintien des filles à l'école secondaire en Afrique de l'Ouest et sahélienne, où l'écart de genre dépasse 20 points dans plusieurs pays.</w:t>
      </w:r>
    </w:p>
    <w:p w14:paraId="05003938" w14:textId="77777777" w:rsidR="00E237FE" w:rsidRDefault="004E65BF">
      <w:pPr>
        <w:numPr>
          <w:ilvl w:val="0"/>
          <w:numId w:val="7"/>
        </w:numPr>
        <w:spacing w:after="263"/>
        <w:ind w:hanging="360"/>
      </w:pPr>
      <w:r>
        <w:t>Traiter la transition primaire-secondaire (bourses, transport scolaire, internats, réduction des frais de scolarité) comme la priorité budgétaire n°1, plutôt que la seule expansion de l'accès au primaire déjà globalement atteint.</w:t>
      </w:r>
    </w:p>
    <w:p w14:paraId="749FD270" w14:textId="77777777" w:rsidR="00E237FE" w:rsidRDefault="004E65BF">
      <w:pPr>
        <w:pStyle w:val="Heading3"/>
        <w:ind w:left="-5"/>
      </w:pPr>
      <w:r>
        <w:t>7.2 Pour les bailleurs de fonds et organisations internationales</w:t>
      </w:r>
    </w:p>
    <w:p w14:paraId="3258FC43" w14:textId="77777777" w:rsidR="00E237FE" w:rsidRDefault="004E65BF">
      <w:pPr>
        <w:numPr>
          <w:ilvl w:val="0"/>
          <w:numId w:val="8"/>
        </w:numPr>
        <w:ind w:hanging="360"/>
      </w:pPr>
      <w:r>
        <w:t>Conditionner une partie de l'aide à l'éducation à des indicateurs de résultat (taux d'achèvement, écart de genre) plutôt qu'au seul volume de dépense engagée, étant donné la corrélation modérée observée entre % du PIB dépensé et résultats obtenus.</w:t>
      </w:r>
    </w:p>
    <w:p w14:paraId="1AD26DA2" w14:textId="77777777" w:rsidR="00E237FE" w:rsidRDefault="004E65BF">
      <w:pPr>
        <w:numPr>
          <w:ilvl w:val="0"/>
          <w:numId w:val="8"/>
        </w:numPr>
        <w:spacing w:after="263"/>
        <w:ind w:hanging="360"/>
      </w:pPr>
      <w:r>
        <w:t>Soutenir en priorité l'Afrique de l'Ouest et l'Afrique centrale, qui cumulent les indicateurs les plus faibles sur l'ensemble des dimensions étudiées.</w:t>
      </w:r>
    </w:p>
    <w:p w14:paraId="3CA7CBB5" w14:textId="77777777" w:rsidR="00E237FE" w:rsidRDefault="004E65BF">
      <w:pPr>
        <w:pStyle w:val="Heading2"/>
        <w:ind w:left="-5"/>
      </w:pPr>
      <w:r>
        <w:t>8. Conclusion</w:t>
      </w:r>
    </w:p>
    <w:p w14:paraId="0C3EB4DA" w14:textId="77777777" w:rsidR="00E237FE" w:rsidRDefault="004E65BF">
      <w:pPr>
        <w:spacing w:after="223" w:line="259" w:lineRule="auto"/>
        <w:ind w:left="-2" w:right="-29" w:firstLine="0"/>
      </w:pPr>
      <w:r>
        <w:rPr>
          <w:noProof/>
          <w:sz w:val="22"/>
        </w:rPr>
        <mc:AlternateContent>
          <mc:Choice Requires="wpg">
            <w:drawing>
              <wp:inline distT="0" distB="0" distL="0" distR="0" wp14:anchorId="4C06C251" wp14:editId="3A596CED">
                <wp:extent cx="5730875" cy="12700"/>
                <wp:effectExtent l="0" t="0" r="0" b="0"/>
                <wp:docPr id="5388" name="Group 5388"/>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461" name="Shape 461"/>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s:wsp>
                        <wps:cNvPr id="463" name="Shape 463"/>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8" style="width:451.25pt;height:1pt;mso-position-horizontal-relative:char;mso-position-vertical-relative:line" coordsize="57308,127">
                <v:shape id="Shape 461" style="position:absolute;width:57308;height:0;left:0;top:0;" coordsize="5730875,0" path="m5730875,0l0,0">
                  <v:stroke weight="1pt" endcap="flat" joinstyle="round" on="true" color="#1f4e78"/>
                  <v:fill on="false" color="#000000" opacity="0"/>
                </v:shape>
                <v:shape id="Shape 463" style="position:absolute;width:57308;height:0;left:0;top:0;" coordsize="5730875,0" path="m5730875,0l0,0">
                  <v:stroke weight="1pt" endcap="flat" joinstyle="round" on="true" color="#1f4e78"/>
                  <v:fill on="false" color="#000000" opacity="0"/>
                </v:shape>
              </v:group>
            </w:pict>
          </mc:Fallback>
        </mc:AlternateContent>
      </w:r>
    </w:p>
    <w:p w14:paraId="5CACB75B" w14:textId="77777777" w:rsidR="00E237FE" w:rsidRDefault="004E65BF">
      <w:pPr>
        <w:spacing w:after="421"/>
      </w:pPr>
      <w:r>
        <w:t xml:space="preserve">Cette analyse des indicateurs WDI sur l'éducation en Afrique met en évidence des progrès réels en matière d'accès au primaire, mais révèle deux fractures majeures : une fracture régionale, avec une Afrique de l'Ouest et une Afrique centrale structurellement en retard, et une fracture de transition, entre un accès quasi universel au primaire et un décrochage massif au secondaire. L'investissement public en éducation reste nécessaire mais n'est pas suffisant : son efficacité et son ciblage — vers les filles, </w:t>
      </w:r>
      <w:r>
        <w:t>vers la transition secondaire, vers les pays les plus fragiles — comptent au moins autant que son volume. Le tableau de bord Power BI livré avec ce rapport permet aux décideurs d'explorer ces constats pays par pays et de suivre leur évolution dans le temps.</w:t>
      </w:r>
    </w:p>
    <w:p w14:paraId="50D9075E" w14:textId="5A4B46FA" w:rsidR="00E237FE" w:rsidRDefault="00E237FE">
      <w:pPr>
        <w:spacing w:after="0" w:line="286" w:lineRule="auto"/>
        <w:ind w:left="0" w:firstLine="0"/>
      </w:pPr>
    </w:p>
    <w:sectPr w:rsidR="00E237FE">
      <w:headerReference w:type="even" r:id="rId13"/>
      <w:headerReference w:type="default" r:id="rId14"/>
      <w:footerReference w:type="even" r:id="rId15"/>
      <w:footerReference w:type="default" r:id="rId16"/>
      <w:headerReference w:type="first" r:id="rId17"/>
      <w:footerReference w:type="first" r:id="rId18"/>
      <w:pgSz w:w="11906" w:h="16838"/>
      <w:pgMar w:top="1439" w:right="1470" w:bottom="1477"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465B" w14:textId="77777777" w:rsidR="004E65BF" w:rsidRDefault="004E65BF">
      <w:pPr>
        <w:spacing w:after="0" w:line="240" w:lineRule="auto"/>
      </w:pPr>
      <w:r>
        <w:separator/>
      </w:r>
    </w:p>
  </w:endnote>
  <w:endnote w:type="continuationSeparator" w:id="0">
    <w:p w14:paraId="3F39AD84" w14:textId="77777777" w:rsidR="004E65BF" w:rsidRDefault="004E6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E772" w14:textId="77777777" w:rsidR="00E237FE" w:rsidRDefault="004E65BF">
    <w:pPr>
      <w:spacing w:after="0" w:line="259" w:lineRule="auto"/>
      <w:ind w:left="32" w:firstLine="0"/>
      <w:jc w:val="center"/>
    </w:pPr>
    <w:r>
      <w:fldChar w:fldCharType="begin"/>
    </w:r>
    <w:r>
      <w:instrText xml:space="preserve"> PAGE   \* MERGEFORMAT </w:instrText>
    </w:r>
    <w:r>
      <w:fldChar w:fldCharType="separate"/>
    </w:r>
    <w:r>
      <w:rPr>
        <w:sz w:val="20"/>
      </w:rPr>
      <w:t>2</w:t>
    </w:r>
    <w:r>
      <w:rPr>
        <w:sz w:val="20"/>
      </w:rPr>
      <w:fldChar w:fldCharType="end"/>
    </w:r>
    <w:r>
      <w:rPr>
        <w:color w:val="595959"/>
        <w:sz w:val="16"/>
      </w:rPr>
      <w:t xml:space="preserve"> / </w:t>
    </w:r>
    <w:r>
      <w:fldChar w:fldCharType="begin"/>
    </w:r>
    <w:r>
      <w:instrText xml:space="preserve"> NUMPAGES   \* MERGEFORMAT </w:instrText>
    </w:r>
    <w:r>
      <w:fldChar w:fldCharType="separate"/>
    </w:r>
    <w:r>
      <w:rPr>
        <w:sz w:val="20"/>
      </w:rPr>
      <w:t>9</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9AE3" w14:textId="77777777" w:rsidR="00E237FE" w:rsidRDefault="004E65BF">
    <w:pPr>
      <w:spacing w:after="0" w:line="259" w:lineRule="auto"/>
      <w:ind w:left="32" w:firstLine="0"/>
      <w:jc w:val="center"/>
    </w:pPr>
    <w:r>
      <w:fldChar w:fldCharType="begin"/>
    </w:r>
    <w:r>
      <w:instrText xml:space="preserve"> PAGE   \* MERGEFORMAT </w:instrText>
    </w:r>
    <w:r>
      <w:fldChar w:fldCharType="separate"/>
    </w:r>
    <w:r>
      <w:rPr>
        <w:sz w:val="20"/>
      </w:rPr>
      <w:t>2</w:t>
    </w:r>
    <w:r>
      <w:rPr>
        <w:sz w:val="20"/>
      </w:rPr>
      <w:fldChar w:fldCharType="end"/>
    </w:r>
    <w:r>
      <w:rPr>
        <w:color w:val="595959"/>
        <w:sz w:val="16"/>
      </w:rPr>
      <w:t xml:space="preserve"> / </w:t>
    </w:r>
    <w:r>
      <w:fldChar w:fldCharType="begin"/>
    </w:r>
    <w:r>
      <w:instrText xml:space="preserve"> NUMPAGES   \* MERGEFORMAT </w:instrText>
    </w:r>
    <w:r>
      <w:fldChar w:fldCharType="separate"/>
    </w:r>
    <w:r>
      <w:rPr>
        <w:sz w:val="20"/>
      </w:rPr>
      <w:t>9</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6998" w14:textId="77777777" w:rsidR="00E237FE" w:rsidRDefault="00E237F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557A" w14:textId="77777777" w:rsidR="004E65BF" w:rsidRDefault="004E65BF">
      <w:pPr>
        <w:spacing w:after="0" w:line="240" w:lineRule="auto"/>
      </w:pPr>
      <w:r>
        <w:separator/>
      </w:r>
    </w:p>
  </w:footnote>
  <w:footnote w:type="continuationSeparator" w:id="0">
    <w:p w14:paraId="4BD7BEB6" w14:textId="77777777" w:rsidR="004E65BF" w:rsidRDefault="004E6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FB13" w14:textId="77777777" w:rsidR="00E237FE" w:rsidRDefault="004E65BF">
    <w:pPr>
      <w:spacing w:after="0" w:line="259" w:lineRule="auto"/>
      <w:ind w:left="0" w:right="-31" w:firstLine="0"/>
      <w:jc w:val="right"/>
    </w:pPr>
    <w:r>
      <w:rPr>
        <w:color w:val="595959"/>
        <w:sz w:val="16"/>
      </w:rPr>
      <w:t xml:space="preserve">Éducation en Afrique — Rapport </w:t>
    </w:r>
    <w:proofErr w:type="spellStart"/>
    <w:r>
      <w:rPr>
        <w:color w:val="595959"/>
        <w:sz w:val="16"/>
      </w:rPr>
      <w:t>Capstone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A425" w14:textId="77777777" w:rsidR="00E237FE" w:rsidRDefault="004E65BF">
    <w:pPr>
      <w:spacing w:after="0" w:line="259" w:lineRule="auto"/>
      <w:ind w:left="0" w:right="-31" w:firstLine="0"/>
      <w:jc w:val="right"/>
    </w:pPr>
    <w:r>
      <w:rPr>
        <w:color w:val="595959"/>
        <w:sz w:val="16"/>
      </w:rPr>
      <w:t xml:space="preserve">Éducation en Afrique — Rapport </w:t>
    </w:r>
    <w:proofErr w:type="spellStart"/>
    <w:r>
      <w:rPr>
        <w:color w:val="595959"/>
        <w:sz w:val="16"/>
      </w:rPr>
      <w:t>Capstone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ECC" w14:textId="77777777" w:rsidR="00E237FE" w:rsidRDefault="00E237F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5FB"/>
    <w:multiLevelType w:val="hybridMultilevel"/>
    <w:tmpl w:val="E314347A"/>
    <w:lvl w:ilvl="0" w:tplc="B3566D4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FD41DC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C9C348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AC988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22F89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CCE510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46B52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E6751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1CCB5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B148A3"/>
    <w:multiLevelType w:val="hybridMultilevel"/>
    <w:tmpl w:val="C7BC2162"/>
    <w:lvl w:ilvl="0" w:tplc="2DEE502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64250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74FBF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74CB7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F6641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BA0FD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4E37A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9CAB52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FC843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2B3984"/>
    <w:multiLevelType w:val="hybridMultilevel"/>
    <w:tmpl w:val="7C66BDE4"/>
    <w:lvl w:ilvl="0" w:tplc="4866E7E6">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48F2D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785F2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E664A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4423F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DA162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DCFF3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38A45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71E4BA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1B3D00"/>
    <w:multiLevelType w:val="hybridMultilevel"/>
    <w:tmpl w:val="B6EAB7E2"/>
    <w:lvl w:ilvl="0" w:tplc="FF5862C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52C91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8EBA0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CAAC22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9AE91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3AD75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94A05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90F4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22F63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A512CC"/>
    <w:multiLevelType w:val="hybridMultilevel"/>
    <w:tmpl w:val="A9B299EE"/>
    <w:lvl w:ilvl="0" w:tplc="B4DAC39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32C0E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8E1EA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4982E4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5E5BE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50834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6A9D5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65C216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2E3F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06A2063"/>
    <w:multiLevelType w:val="hybridMultilevel"/>
    <w:tmpl w:val="35FE978E"/>
    <w:lvl w:ilvl="0" w:tplc="986CD83C">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E7CC46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32B42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7013D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0C48E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E8D6C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56943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31A178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3E0D4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4C9443A"/>
    <w:multiLevelType w:val="hybridMultilevel"/>
    <w:tmpl w:val="57ACCD0C"/>
    <w:lvl w:ilvl="0" w:tplc="FBB04AB4">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8A4B7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AAF1E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28394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DE4F4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F22A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6A5D8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AA1DC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00650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765A00"/>
    <w:multiLevelType w:val="hybridMultilevel"/>
    <w:tmpl w:val="17AA5108"/>
    <w:lvl w:ilvl="0" w:tplc="F97CC0A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0403C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B5EBD7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548B4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4843A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7ACF6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F8DE4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E6148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787B8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B66415"/>
    <w:multiLevelType w:val="hybridMultilevel"/>
    <w:tmpl w:val="9B2A3A7E"/>
    <w:lvl w:ilvl="0" w:tplc="8424F3BC">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E2DAD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1CA5BB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964F9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7EFDF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56E00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D61CA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A2708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3A2AD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22723918">
    <w:abstractNumId w:val="8"/>
  </w:num>
  <w:num w:numId="2" w16cid:durableId="194929293">
    <w:abstractNumId w:val="0"/>
  </w:num>
  <w:num w:numId="3" w16cid:durableId="1065567318">
    <w:abstractNumId w:val="5"/>
  </w:num>
  <w:num w:numId="4" w16cid:durableId="1116438414">
    <w:abstractNumId w:val="4"/>
  </w:num>
  <w:num w:numId="5" w16cid:durableId="2026518650">
    <w:abstractNumId w:val="3"/>
  </w:num>
  <w:num w:numId="6" w16cid:durableId="1514025890">
    <w:abstractNumId w:val="7"/>
  </w:num>
  <w:num w:numId="7" w16cid:durableId="1151095928">
    <w:abstractNumId w:val="6"/>
  </w:num>
  <w:num w:numId="8" w16cid:durableId="160043690">
    <w:abstractNumId w:val="2"/>
  </w:num>
  <w:num w:numId="9" w16cid:durableId="1491366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FE"/>
    <w:rsid w:val="00106DFA"/>
    <w:rsid w:val="00234025"/>
    <w:rsid w:val="00371733"/>
    <w:rsid w:val="00390CAA"/>
    <w:rsid w:val="003C73C3"/>
    <w:rsid w:val="004E65BF"/>
    <w:rsid w:val="00DF274B"/>
    <w:rsid w:val="00E237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1870"/>
  <w15:docId w15:val="{E49EE5B0-05D9-4F47-A8BC-E7E6604B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6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29"/>
      <w:jc w:val="center"/>
      <w:outlineLvl w:val="0"/>
    </w:pPr>
    <w:rPr>
      <w:rFonts w:ascii="Calibri" w:eastAsia="Calibri" w:hAnsi="Calibri" w:cs="Calibri"/>
      <w:b/>
      <w:color w:val="1F4E78"/>
      <w:sz w:val="5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4E78"/>
      <w:sz w:val="30"/>
    </w:rPr>
  </w:style>
  <w:style w:type="paragraph" w:styleId="Heading3">
    <w:name w:val="heading 3"/>
    <w:next w:val="Normal"/>
    <w:link w:val="Heading3Char"/>
    <w:uiPriority w:val="9"/>
    <w:unhideWhenUsed/>
    <w:qFormat/>
    <w:pPr>
      <w:keepNext/>
      <w:keepLines/>
      <w:spacing w:after="75" w:line="259" w:lineRule="auto"/>
      <w:ind w:left="10" w:hanging="10"/>
      <w:outlineLvl w:val="2"/>
    </w:pPr>
    <w:rPr>
      <w:rFonts w:ascii="Calibri" w:eastAsia="Calibri" w:hAnsi="Calibri" w:cs="Calibri"/>
      <w:b/>
      <w:color w:val="1F4E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F4E78"/>
      <w:sz w:val="24"/>
    </w:rPr>
  </w:style>
  <w:style w:type="character" w:customStyle="1" w:styleId="Heading2Char">
    <w:name w:val="Heading 2 Char"/>
    <w:link w:val="Heading2"/>
    <w:rPr>
      <w:rFonts w:ascii="Calibri" w:eastAsia="Calibri" w:hAnsi="Calibri" w:cs="Calibri"/>
      <w:b/>
      <w:color w:val="1F4E78"/>
      <w:sz w:val="30"/>
    </w:rPr>
  </w:style>
  <w:style w:type="character" w:customStyle="1" w:styleId="Heading1Char">
    <w:name w:val="Heading 1 Char"/>
    <w:link w:val="Heading1"/>
    <w:rPr>
      <w:rFonts w:ascii="Calibri" w:eastAsia="Calibri" w:hAnsi="Calibri" w:cs="Calibri"/>
      <w:b/>
      <w:color w:val="1F4E78"/>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1958</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james podga bikay</cp:lastModifiedBy>
  <cp:revision>3</cp:revision>
  <dcterms:created xsi:type="dcterms:W3CDTF">2026-07-25T13:18:00Z</dcterms:created>
  <dcterms:modified xsi:type="dcterms:W3CDTF">2026-07-25T13:24:00Z</dcterms:modified>
</cp:coreProperties>
</file>