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1F1F"/>
          <w:sz w:val="40"/>
          <w:szCs w:val="40"/>
        </w:rPr>
        <w:t xml:space="preserve">Analyse des Transactions E-commerce</w:t>
      </w:r>
    </w:p>
    <w:p>
      <w:pPr>
        <w:spacing w:after="40"/>
      </w:pPr>
      <w:r>
        <w:rPr>
          <w:color w:val="555555"/>
          <w:sz w:val="22"/>
          <w:szCs w:val="22"/>
        </w:rPr>
        <w:t xml:space="preserve">Rapport d'analyse — Nettoyage de données &amp; Analyse exploratoire (EDA)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Projet réalisé dans le cadre d'un stage chez AnalystLab Africa — Dataset: Online Retail (UK, déc. 2010 – déc. 2011)</w:t>
      </w:r>
    </w:p>
    <w:p>
      <w:pPr>
        <w:pStyle w:val="Heading1"/>
        <w:spacing w:after="120" w:before="260"/>
      </w:pPr>
      <w:r>
        <w:t xml:space="preserve">Présentation du projet</w:t>
      </w:r>
    </w:p>
    <w:p>
      <w:pPr>
        <w:spacing w:after="120"/>
      </w:pPr>
      <w:r>
        <w:t xml:space="preserve">Ce projet porte sur l'analyse d'un jeu de données de transactions e-commerce (541 909 lignes, 8 colonnes) couvrant la période du 1er décembre 2010 au 9 décembre 2011. L'objectif était de transformer des données brutes et incohérentes en informations stratégiques fiables, à travers un flux complet : nettoyage, validation, analyse exploratoire (EDA) et visualisation.</w:t>
      </w:r>
    </w:p>
    <w:p>
      <w:pPr>
        <w:pStyle w:val="Heading1"/>
        <w:spacing w:after="120" w:before="260"/>
      </w:pPr>
      <w:r>
        <w:t xml:space="preserve">Indicateurs clés du dataset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360"/>
        <w:gridCol w:w="2360"/>
        <w:gridCol w:w="2360"/>
      </w:tblGrid>
      <w:tr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Lignes initiales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541 909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Lignes après nettoyage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468 238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Lignes supprimées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73 671 (13,6 %)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Chiffre d'affaires total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£5 478 045</w:t>
            </w:r>
          </w:p>
        </w:tc>
      </w:tr>
      <w:tr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Clients uniques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4 244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Produits uniques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3 809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Factures uniques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21 360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555"/>
                <w:sz w:val="16"/>
                <w:szCs w:val="16"/>
              </w:rPr>
              <w:t xml:space="preserve">Pays représentés</w:t>
            </w:r>
          </w:p>
          <w:p>
            <w:r>
              <w:rPr>
                <w:b/>
                <w:bCs/>
                <w:color w:val="1F1F1F"/>
                <w:sz w:val="24"/>
                <w:szCs w:val="24"/>
              </w:rPr>
              <w:t xml:space="preserve">38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t xml:space="preserve">Processus de nettoyage des données (avec détails chiffrés)</w:t>
      </w:r>
    </w:p>
    <w:p>
      <w:pPr>
        <w:pStyle w:val="Heading2"/>
        <w:spacing w:after="90" w:before="180"/>
      </w:pPr>
      <w:r>
        <w:t xml:space="preserve">1. Valeurs manquantes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Colonne Description : 1 454 valeurs manquantes (0,27 % du dataset) → lignes supprimées, car un produit non identifié ne peut être exploité dans l'analyse.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Colonne CustomerID : 135 080 valeurs manquantes (24,9 % du dataset) → remplacées par "Unknown" plutôt que supprimées, afin de conserver les transactions (et donc le chiffre d'affaires associé) tout en isolant les clients non identifiés.</w:t>
      </w:r>
    </w:p>
    <w:p>
      <w:pPr>
        <w:pStyle w:val="Heading2"/>
        <w:spacing w:after="90" w:before="180"/>
      </w:pPr>
      <w:r>
        <w:t xml:space="preserve">2. Doublons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10 147 lignes identifiées comme faisant partie d'un groupe de doublons (méthode keep=False).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5 268 lignes dupliquées effectivement supprimées (conservation de la première occurrence), faisant passer le dataset de 540 455 à 535 187 lignes à cette étape.</w:t>
      </w:r>
    </w:p>
    <w:p>
      <w:pPr>
        <w:pStyle w:val="Heading2"/>
        <w:spacing w:after="90" w:before="180"/>
      </w:pPr>
      <w:r>
        <w:t xml:space="preserve">3. Validation des données numériques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 entrées avec une Description invalide/incohérente supprimées.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Valeurs négatives détectées dans Quantity et UnitPrice (jusqu'à -80 995 unités et -£11 062,06) : considérées comme invalides pour l'analyse des ventes et remplacées par la médiane du sous-groupe (par produit) correspondant.</w:t>
      </w:r>
    </w:p>
    <w:p>
      <w:pPr>
        <w:pStyle w:val="Heading2"/>
        <w:spacing w:after="90" w:before="180"/>
      </w:pPr>
      <w:r>
        <w:t xml:space="preserve">4. Traitement des valeurs aberrantes (méthode IQR)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Pour Quantity : IQR = 10,0 → bornes acceptables de -14 à 26 unités ; les observations hors bornes ont été supprimées.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Même méthode appliquée à UnitPrice pour éliminer les prix extrêmes susceptibles de fausser les indicateurs de chiffre d'affaires.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 total, 73 671 lignes (13,6 % du dataset initial) ont été retirées ou corrigées à l'issue de l'ensemble du processus de nettoyage, pour un dataset final de 468 238 transactions exploitables.</w:t>
      </w:r>
    </w:p>
    <w:p>
      <w:pPr>
        <w:pStyle w:val="Heading1"/>
        <w:spacing w:after="120" w:before="260"/>
      </w:pPr>
      <w:r>
        <w:t xml:space="preserve">Principaux insights (avec chiffres à l'appui)</w:t>
      </w:r>
    </w:p>
    <w:p>
      <w:pPr>
        <w:pStyle w:val="Heading2"/>
        <w:spacing w:after="90" w:before="180"/>
      </w:pPr>
      <w:r>
        <w:t xml:space="preserve">Produits phares</w:t>
      </w:r>
    </w:p>
    <w:p>
      <w:pPr>
        <w:spacing w:after="120"/>
      </w:pPr>
      <w:r>
        <w:t xml:space="preserve">Les articles de décoration et les produits liés aux événements festifs dominent le classement des ventes. Le produit le plus vendu, "WHITE HANGING HEART T-LIGHT HOLDER", a généré à lui seul £37 243 de chiffre d'affaires (12 006 unités), suivi de "PARTY BUNTING" (£36 902) et "JUMBO BAG RED RETROSPOT" (£33 181, 14 512 unités). Les 8 produits les plus performants représentent ensemble plus de £222 000 de chiffre d'affaires.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t xml:space="preserve">Saisonnalité des ventes</w:t>
      </w:r>
    </w:p>
    <w:p>
      <w:pPr>
        <w:spacing w:after="120"/>
      </w:pPr>
      <w:r>
        <w:t xml:space="preserve">Le chiffre d'affaires mensuel montre une croissance marquée entre août et novembre 2011 : de £382 390 en août à £818 615 en novembre, soit une progression de +114 % sur la période, portée par l'approche des fêtes de fin d'année. Le mois de novembre constitue le pic de l'année (£818 615), tandis que décembre apparaît artificiellement bas (£248 381) car le dataset s'arrête au 9 décembre 2011 (mois incomplet).</w:t>
      </w:r>
    </w:p>
    <w:p>
      <w:pPr>
        <w:spacing w:after="200" w:before="80"/>
        <w:jc w:val="center"/>
      </w:pPr>
      <w:r>
        <w:drawing>
          <wp:inline distT="0" distB="0" distL="0" distR="0">
            <wp:extent cx="5334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180"/>
      </w:pPr>
      <w:r>
        <w:t xml:space="preserve">Performance géographique</w:t>
      </w:r>
    </w:p>
    <w:p>
      <w:pPr>
        <w:spacing w:after="120"/>
      </w:pPr>
      <w:r>
        <w:t xml:space="preserve">Le Royaume-Uni est de très loin le marché le plus rentable, générant £4 789 804 de chiffre d'affaires, soit 87,4 % du total sur 38 pays. L'Allemagne (£148 452), la France (£129 794) et l'Irlande (£126 645) forment le trio des marchés secondaires, chacun représentant entre 2 % et 3 % du chiffre d'affaires total — largement derrière le marché britannique.</w:t>
      </w:r>
    </w:p>
    <w:p>
      <w:pPr>
        <w:pStyle w:val="Heading1"/>
        <w:spacing w:after="120" w:before="260"/>
      </w:pPr>
      <w:r>
        <w:t xml:space="preserve">Conclusion et recommandations</w:t>
      </w:r>
    </w:p>
    <w:p>
      <w:pPr>
        <w:spacing w:after="120"/>
      </w:pPr>
      <w:r>
        <w:t xml:space="preserve">Ce projet a permis de mettre en pratique l'ensemble des étapes fondamentales d'un processus d'analyse de données : compréhension du dataset, nettoyage (traitement de 73 671 lignes problématiques, soit 13,6 % du volume initial), validation, analyse exploratoire et visualisation. La qualité des résultats obtenus confirme l'importance d'un nettoyage rigoureux : sans traitement des valeurs manquantes, doublons et aberrantes, les indicateurs de chiffre d'affaires et de volume auraient été significativement biaisés.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Renforcer les actions marketing sur les produits phares (décoration, articles festifs) qui concentrent une part disproportionnée du chiffre d'affaires.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Anticiper la montée en charge d'août à novembre (+114 %) en amont : approvisionnement, stock, capacité logistique.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Consolider la position sur le marché britannique (87,4 % du CA) tout en explorant le potentiel de croissance en Allemagne, France et Irlande, actuellement sous-exploité.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Approfondir l'analyse avec une segmentation client (RFM) et des modèles de prévision des ventes, rendus possibles par la qualité du dataset nettoyé.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4e748fe0b2fdc893f01723a2c09ac62102b81e.undefined"/><Relationship Id="rId8" Type="http://schemas.openxmlformats.org/officeDocument/2006/relationships/image" Target="media/f9fbdcb005015bbdb14e3af4cf89dc8df89795ca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2026-07-13T18:03:22.454Z</dcterms:created>
  <dcterms:modified xsi:type="dcterms:W3CDTF">2026-07-13T18:03:22.464Z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