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БӨЖ1</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Инклюзивті білім беру ортасы бойынша глоссарий</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Глоссарийді қолдану</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Құқық және қатысу ұғымдары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Қолжетімді орта ұғымдары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Оқыту және бағалау ұғымдары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Қолдау және ынтымақтастық ұғымдары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Ұғымдарды байланыстыру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Глоссарийді қолдану</w:t>
      </w:r>
    </w:p>
    <w:p>
      <w:pPr>
        <w:pStyle w:val="af"/>
        <w:spacing w:line="276" w:lineRule="auto" w:after="120"/>
        <w:ind w:firstLine="720"/>
        <w:jc w:val="both"/>
      </w:pPr>
      <w:r>
        <w:rPr>
          <w:lang w:val="kk-KZ"/>
        </w:rPr>
        <w:t>Бұл глоссарий инклюзивті білім беру ортасын талдауға қажетті 30 ұғымды қамтиды. Терминдер құқық, қолжетімділік, оқыту және қолдау бағыттарына топтастырылды. Анықтамалар педагогикалық мағынада берілді; мысалдар ұғымның мектептегі қолданылуын түсіндіреді. Негізгі қағида: оқушыны ортаға бейімдеумен шектелмей, оның қатысуына кедергі келтіретін жағдайларды өзгерту. ЕБҚ қысқартуы ерекше білім беру қажеттіліктерін білдіреді. Дереккөздерге жүгінген күн: 02.10.2026.</w:t>
      </w:r>
    </w:p>
    <w:p>
      <w:pPr>
        <w:pStyle w:val="1"/>
      </w:pPr>
      <w:r>
        <w:t>Құқық және қатысу ұғымдары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6811"/>
      </w:tblGrid>
      <w:tr>
        <w:trPr>
          <w:tblHeader/>
        </w:trPr>
        <w:tc>
          <w:tcPr>
            <w:tcW w:type="dxa" w:w="2592"/>
            <w:vAlign w:val="center"/>
            <w:shd w:fill="EEEEEE"/>
          </w:tcPr>
          <w:p>
            <w:pPr>
              <w:spacing w:after="60" w:before="60" w:line="240" w:lineRule="auto"/>
            </w:pPr>
            <w:r>
              <w:rPr>
                <w:rFonts w:ascii="Times New Roman" w:hAnsi="Times New Roman"/>
                <w:b/>
                <w:sz w:val="22"/>
              </w:rPr>
              <w:t>Термин</w:t>
            </w:r>
          </w:p>
        </w:tc>
        <w:tc>
          <w:tcPr>
            <w:tcW w:type="dxa" w:w="6811"/>
            <w:vAlign w:val="center"/>
            <w:shd w:fill="EEEEEE"/>
          </w:tcPr>
          <w:p>
            <w:pPr>
              <w:spacing w:after="60" w:before="60" w:line="240" w:lineRule="auto"/>
            </w:pPr>
            <w:r>
              <w:rPr>
                <w:rFonts w:ascii="Times New Roman" w:hAnsi="Times New Roman"/>
                <w:b/>
                <w:sz w:val="22"/>
              </w:rPr>
              <w:t>Анықтамасы және қолданылуы</w:t>
            </w:r>
          </w:p>
        </w:tc>
      </w:tr>
      <w:tr>
        <w:tc>
          <w:tcPr>
            <w:tcW w:type="dxa" w:w="2592"/>
            <w:vAlign w:val="center"/>
          </w:tcPr>
          <w:p>
            <w:pPr>
              <w:spacing w:after="60" w:before="60" w:line="240" w:lineRule="auto"/>
            </w:pPr>
            <w:r>
              <w:rPr>
                <w:rFonts w:ascii="Times New Roman" w:hAnsi="Times New Roman"/>
                <w:b w:val="0"/>
                <w:sz w:val="22"/>
              </w:rPr>
              <w:t>1. Инклюзивті білім беру</w:t>
            </w:r>
          </w:p>
        </w:tc>
        <w:tc>
          <w:tcPr>
            <w:tcW w:type="dxa" w:w="6811"/>
            <w:vAlign w:val="center"/>
          </w:tcPr>
          <w:p>
            <w:pPr>
              <w:spacing w:after="60" w:before="60" w:line="240" w:lineRule="auto"/>
            </w:pPr>
            <w:r>
              <w:rPr>
                <w:rFonts w:ascii="Times New Roman" w:hAnsi="Times New Roman"/>
                <w:b w:val="0"/>
                <w:sz w:val="22"/>
              </w:rPr>
              <w:t>Әр білім алушының қажеттілігі мен мүмкіндігін ескеріп, білімге тең қолжетімділігін қамтамасыз ететін үдеріс. Мысалы, ортақ сыныпта тапсырманы қабылдау және орындау жолдары әртүрлі болуы мүмкін. [1]</w:t>
            </w:r>
          </w:p>
        </w:tc>
      </w:tr>
      <w:tr>
        <w:tc>
          <w:tcPr>
            <w:tcW w:type="dxa" w:w="2592"/>
            <w:vAlign w:val="center"/>
          </w:tcPr>
          <w:p>
            <w:pPr>
              <w:spacing w:after="60" w:before="60" w:line="240" w:lineRule="auto"/>
            </w:pPr>
            <w:r>
              <w:rPr>
                <w:rFonts w:ascii="Times New Roman" w:hAnsi="Times New Roman"/>
                <w:b w:val="0"/>
                <w:sz w:val="22"/>
              </w:rPr>
              <w:t>2. Инклюзивті білім беру ортасы</w:t>
            </w:r>
          </w:p>
        </w:tc>
        <w:tc>
          <w:tcPr>
            <w:tcW w:type="dxa" w:w="6811"/>
            <w:vAlign w:val="center"/>
          </w:tcPr>
          <w:p>
            <w:pPr>
              <w:spacing w:after="60" w:before="60" w:line="240" w:lineRule="auto"/>
            </w:pPr>
            <w:r>
              <w:rPr>
                <w:rFonts w:ascii="Times New Roman" w:hAnsi="Times New Roman"/>
                <w:b w:val="0"/>
                <w:sz w:val="22"/>
              </w:rPr>
              <w:t>Білім алушылардың оқуға, қарым-қатынасқа және мектеп өміріне қатысуын қолдайтын физикалық, әлеуметтік, ақпараттық және педагогикалық жағдайлардың өзара байланысты жүйесі. Қолжетімді ғимаратпен бірге қабылдайтын сынып мәдениеті де қажет.</w:t>
            </w:r>
          </w:p>
        </w:tc>
      </w:tr>
      <w:tr>
        <w:tc>
          <w:tcPr>
            <w:tcW w:type="dxa" w:w="2592"/>
            <w:vAlign w:val="center"/>
          </w:tcPr>
          <w:p>
            <w:pPr>
              <w:spacing w:after="60" w:before="60" w:line="240" w:lineRule="auto"/>
            </w:pPr>
            <w:r>
              <w:rPr>
                <w:rFonts w:ascii="Times New Roman" w:hAnsi="Times New Roman"/>
                <w:b w:val="0"/>
                <w:sz w:val="22"/>
              </w:rPr>
              <w:t>3. Ерекше білім беру қажеттіліктері</w:t>
            </w:r>
          </w:p>
        </w:tc>
        <w:tc>
          <w:tcPr>
            <w:tcW w:type="dxa" w:w="6811"/>
            <w:vAlign w:val="center"/>
          </w:tcPr>
          <w:p>
            <w:pPr>
              <w:spacing w:after="60" w:before="60" w:line="240" w:lineRule="auto"/>
            </w:pPr>
            <w:r>
              <w:rPr>
                <w:rFonts w:ascii="Times New Roman" w:hAnsi="Times New Roman"/>
                <w:b w:val="0"/>
                <w:sz w:val="22"/>
              </w:rPr>
              <w:t>Білім алу кезінде қосымша қолдауға немесе арнаулы жағдайға тұрақты не уақытша қажеттілік. ЕБҚ ұғымын тек мүгедектікпен теңестіруге болмайды: оқу қиындығына ортаның жағдайы да ықпал етеді. [1; 2]</w:t>
            </w:r>
          </w:p>
        </w:tc>
      </w:tr>
      <w:tr>
        <w:tc>
          <w:tcPr>
            <w:tcW w:type="dxa" w:w="2592"/>
            <w:vAlign w:val="center"/>
          </w:tcPr>
          <w:p>
            <w:pPr>
              <w:spacing w:after="60" w:before="60" w:line="240" w:lineRule="auto"/>
            </w:pPr>
            <w:r>
              <w:rPr>
                <w:rFonts w:ascii="Times New Roman" w:hAnsi="Times New Roman"/>
                <w:b w:val="0"/>
                <w:sz w:val="22"/>
              </w:rPr>
              <w:t>4. Ерекше білім беруді қажет ететін білім алушы</w:t>
            </w:r>
          </w:p>
        </w:tc>
        <w:tc>
          <w:tcPr>
            <w:tcW w:type="dxa" w:w="6811"/>
            <w:vAlign w:val="center"/>
          </w:tcPr>
          <w:p>
            <w:pPr>
              <w:spacing w:after="60" w:before="60" w:line="240" w:lineRule="auto"/>
            </w:pPr>
            <w:r>
              <w:rPr>
                <w:rFonts w:ascii="Times New Roman" w:hAnsi="Times New Roman"/>
                <w:b w:val="0"/>
                <w:sz w:val="22"/>
              </w:rPr>
              <w:t>Білім алу үшін арнаулы жағдайларға тұрақты немесе уақытша қажеттілігі бар тұлға. Оның нақты қолдауын жорамалға емес, қажеттілікті бағалауға сүйеніп анықтайды. [2]</w:t>
            </w:r>
          </w:p>
        </w:tc>
      </w:tr>
      <w:tr>
        <w:tc>
          <w:tcPr>
            <w:tcW w:type="dxa" w:w="2592"/>
            <w:vAlign w:val="center"/>
          </w:tcPr>
          <w:p>
            <w:pPr>
              <w:spacing w:after="60" w:before="60" w:line="240" w:lineRule="auto"/>
            </w:pPr>
            <w:r>
              <w:rPr>
                <w:rFonts w:ascii="Times New Roman" w:hAnsi="Times New Roman"/>
                <w:b w:val="0"/>
                <w:sz w:val="22"/>
              </w:rPr>
              <w:t>5. Білімге тең қолжетімділік</w:t>
            </w:r>
          </w:p>
        </w:tc>
        <w:tc>
          <w:tcPr>
            <w:tcW w:type="dxa" w:w="6811"/>
            <w:vAlign w:val="center"/>
          </w:tcPr>
          <w:p>
            <w:pPr>
              <w:spacing w:after="60" w:before="60" w:line="240" w:lineRule="auto"/>
            </w:pPr>
            <w:r>
              <w:rPr>
                <w:rFonts w:ascii="Times New Roman" w:hAnsi="Times New Roman"/>
                <w:b w:val="0"/>
                <w:sz w:val="22"/>
              </w:rPr>
              <w:t>Білім алу мүмкіндігін кемсітусіз қамтамасыз ету. Оқушыларға бірдей материал ұсыну жеткіліксіз болса, кедергіні жоятын қосымша құрал беріледі.</w:t>
            </w:r>
          </w:p>
        </w:tc>
      </w:tr>
      <w:tr>
        <w:tc>
          <w:tcPr>
            <w:tcW w:type="dxa" w:w="2592"/>
            <w:vAlign w:val="center"/>
          </w:tcPr>
          <w:p>
            <w:pPr>
              <w:spacing w:after="60" w:before="60" w:line="240" w:lineRule="auto"/>
            </w:pPr>
            <w:r>
              <w:rPr>
                <w:rFonts w:ascii="Times New Roman" w:hAnsi="Times New Roman"/>
                <w:b w:val="0"/>
                <w:sz w:val="22"/>
              </w:rPr>
              <w:t>6. Қатысу</w:t>
            </w:r>
          </w:p>
        </w:tc>
        <w:tc>
          <w:tcPr>
            <w:tcW w:type="dxa" w:w="6811"/>
            <w:vAlign w:val="center"/>
          </w:tcPr>
          <w:p>
            <w:pPr>
              <w:spacing w:after="60" w:before="60" w:line="240" w:lineRule="auto"/>
            </w:pPr>
            <w:r>
              <w:rPr>
                <w:rFonts w:ascii="Times New Roman" w:hAnsi="Times New Roman"/>
                <w:b w:val="0"/>
                <w:sz w:val="22"/>
              </w:rPr>
              <w:t>Оқушының сабаққа, шешім қабылдауға, құрдастарымен жұмысқа және мектеп іс-шараларына мәнді араласуы. Сабақта физикалық болуы оның тапсырманы түсінгенін немесе пікірін айта алғанын өздігінен дәлелдемейді.</w:t>
            </w:r>
          </w:p>
        </w:tc>
      </w:tr>
      <w:tr>
        <w:tc>
          <w:tcPr>
            <w:tcW w:type="dxa" w:w="2592"/>
            <w:vAlign w:val="center"/>
          </w:tcPr>
          <w:p>
            <w:pPr>
              <w:spacing w:after="60" w:before="60" w:line="240" w:lineRule="auto"/>
            </w:pPr>
            <w:r>
              <w:rPr>
                <w:rFonts w:ascii="Times New Roman" w:hAnsi="Times New Roman"/>
                <w:b w:val="0"/>
                <w:sz w:val="22"/>
              </w:rPr>
              <w:t>7. Интеграция</w:t>
            </w:r>
          </w:p>
        </w:tc>
        <w:tc>
          <w:tcPr>
            <w:tcW w:type="dxa" w:w="6811"/>
            <w:vAlign w:val="center"/>
          </w:tcPr>
          <w:p>
            <w:pPr>
              <w:spacing w:after="60" w:before="60" w:line="240" w:lineRule="auto"/>
            </w:pPr>
            <w:r>
              <w:rPr>
                <w:rFonts w:ascii="Times New Roman" w:hAnsi="Times New Roman"/>
                <w:b w:val="0"/>
                <w:sz w:val="22"/>
              </w:rPr>
              <w:t>Білім алушыны қалыптасқан білім беру жүйесіне қосу тәсілі. Инклюзияда осы жүйенің өзі әртүрлі оқушыларға ыңғайланып өзгереді. Бұл айырмашылық қолдау жауапкершілігін анықтауға көмектеседі.</w:t>
            </w:r>
          </w:p>
        </w:tc>
      </w:tr>
      <w:tr>
        <w:tc>
          <w:tcPr>
            <w:tcW w:type="dxa" w:w="2592"/>
            <w:vAlign w:val="center"/>
          </w:tcPr>
          <w:p>
            <w:pPr>
              <w:spacing w:after="60" w:before="60" w:line="240" w:lineRule="auto"/>
            </w:pPr>
            <w:r>
              <w:rPr>
                <w:rFonts w:ascii="Times New Roman" w:hAnsi="Times New Roman"/>
                <w:b w:val="0"/>
                <w:sz w:val="22"/>
              </w:rPr>
              <w:t>8. Кемсітушілік</w:t>
            </w:r>
          </w:p>
        </w:tc>
        <w:tc>
          <w:tcPr>
            <w:tcW w:type="dxa" w:w="6811"/>
            <w:vAlign w:val="center"/>
          </w:tcPr>
          <w:p>
            <w:pPr>
              <w:spacing w:after="60" w:before="60" w:line="240" w:lineRule="auto"/>
            </w:pPr>
            <w:r>
              <w:rPr>
                <w:rFonts w:ascii="Times New Roman" w:hAnsi="Times New Roman"/>
                <w:b w:val="0"/>
                <w:sz w:val="22"/>
              </w:rPr>
              <w:t>Адамның ерекшелігіне байланысты оның құқығын немесе мүмкіндігін негізсіз шектеу. Мысалы, қолдау қажет болғаны үшін оқушыны сынып жобасына қатыстырмау тең қатысу қағидасына қайшы келеді.</w:t>
            </w:r>
          </w:p>
        </w:tc>
      </w:tr>
    </w:tbl>
    <w:p>
      <w:pPr>
        <w:pStyle w:val="1"/>
      </w:pPr>
      <w:r>
        <w:t>Қолжетімді орта ұғымдары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6811"/>
      </w:tblGrid>
      <w:tr>
        <w:trPr>
          <w:tblHeader/>
        </w:trPr>
        <w:tc>
          <w:tcPr>
            <w:tcW w:type="dxa" w:w="2592"/>
            <w:vAlign w:val="center"/>
            <w:shd w:fill="EEEEEE"/>
          </w:tcPr>
          <w:p>
            <w:pPr>
              <w:spacing w:after="60" w:before="60" w:line="240" w:lineRule="auto"/>
            </w:pPr>
            <w:r>
              <w:rPr>
                <w:rFonts w:ascii="Times New Roman" w:hAnsi="Times New Roman"/>
                <w:b/>
                <w:sz w:val="22"/>
              </w:rPr>
              <w:t>Термин</w:t>
            </w:r>
          </w:p>
        </w:tc>
        <w:tc>
          <w:tcPr>
            <w:tcW w:type="dxa" w:w="6811"/>
            <w:vAlign w:val="center"/>
            <w:shd w:fill="EEEEEE"/>
          </w:tcPr>
          <w:p>
            <w:pPr>
              <w:spacing w:after="60" w:before="60" w:line="240" w:lineRule="auto"/>
            </w:pPr>
            <w:r>
              <w:rPr>
                <w:rFonts w:ascii="Times New Roman" w:hAnsi="Times New Roman"/>
                <w:b/>
                <w:sz w:val="22"/>
              </w:rPr>
              <w:t>Анықтамасы және қолданылуы</w:t>
            </w:r>
          </w:p>
        </w:tc>
      </w:tr>
      <w:tr>
        <w:tc>
          <w:tcPr>
            <w:tcW w:type="dxa" w:w="2592"/>
            <w:vAlign w:val="center"/>
          </w:tcPr>
          <w:p>
            <w:pPr>
              <w:spacing w:after="60" w:before="60" w:line="240" w:lineRule="auto"/>
            </w:pPr>
            <w:r>
              <w:rPr>
                <w:rFonts w:ascii="Times New Roman" w:hAnsi="Times New Roman"/>
                <w:b w:val="0"/>
                <w:sz w:val="22"/>
              </w:rPr>
              <w:t>9. Кедергі</w:t>
            </w:r>
          </w:p>
        </w:tc>
        <w:tc>
          <w:tcPr>
            <w:tcW w:type="dxa" w:w="6811"/>
            <w:vAlign w:val="center"/>
          </w:tcPr>
          <w:p>
            <w:pPr>
              <w:spacing w:after="60" w:before="60" w:line="240" w:lineRule="auto"/>
            </w:pPr>
            <w:r>
              <w:rPr>
                <w:rFonts w:ascii="Times New Roman" w:hAnsi="Times New Roman"/>
                <w:b w:val="0"/>
                <w:sz w:val="22"/>
              </w:rPr>
              <w:t>Білім алушының оқуына немесе қатысуына қиындық туғызатын жағдай. Ол баспалдақ, оқылмайтын мәтін, түсініксіз нұсқаулық немесе кемсітетін қарым-қатынас түрінде көрінуі мүмкін.</w:t>
            </w:r>
          </w:p>
        </w:tc>
      </w:tr>
      <w:tr>
        <w:tc>
          <w:tcPr>
            <w:tcW w:type="dxa" w:w="2592"/>
            <w:vAlign w:val="center"/>
          </w:tcPr>
          <w:p>
            <w:pPr>
              <w:spacing w:after="60" w:before="60" w:line="240" w:lineRule="auto"/>
            </w:pPr>
            <w:r>
              <w:rPr>
                <w:rFonts w:ascii="Times New Roman" w:hAnsi="Times New Roman"/>
                <w:b w:val="0"/>
                <w:sz w:val="22"/>
              </w:rPr>
              <w:t>10. Кедергісіз орта</w:t>
            </w:r>
          </w:p>
        </w:tc>
        <w:tc>
          <w:tcPr>
            <w:tcW w:type="dxa" w:w="6811"/>
            <w:vAlign w:val="center"/>
          </w:tcPr>
          <w:p>
            <w:pPr>
              <w:spacing w:after="60" w:before="60" w:line="240" w:lineRule="auto"/>
            </w:pPr>
            <w:r>
              <w:rPr>
                <w:rFonts w:ascii="Times New Roman" w:hAnsi="Times New Roman"/>
                <w:b w:val="0"/>
                <w:sz w:val="22"/>
              </w:rPr>
              <w:t>Қозғалу, ақпарат алу, байланысу және оқу әрекетін орындау кедергілері жүйелі азайтылған орта. Мысалы, қолжетімді кіреберіс пен экраннан оқылатын электрондық тапсырма бірін-бірі толықтырады.</w:t>
            </w:r>
          </w:p>
        </w:tc>
      </w:tr>
      <w:tr>
        <w:tc>
          <w:tcPr>
            <w:tcW w:type="dxa" w:w="2592"/>
            <w:vAlign w:val="center"/>
          </w:tcPr>
          <w:p>
            <w:pPr>
              <w:spacing w:after="60" w:before="60" w:line="240" w:lineRule="auto"/>
            </w:pPr>
            <w:r>
              <w:rPr>
                <w:rFonts w:ascii="Times New Roman" w:hAnsi="Times New Roman"/>
                <w:b w:val="0"/>
                <w:sz w:val="22"/>
              </w:rPr>
              <w:t>11. Физикалық қолжетімділік</w:t>
            </w:r>
          </w:p>
        </w:tc>
        <w:tc>
          <w:tcPr>
            <w:tcW w:type="dxa" w:w="6811"/>
            <w:vAlign w:val="center"/>
          </w:tcPr>
          <w:p>
            <w:pPr>
              <w:spacing w:after="60" w:before="60" w:line="240" w:lineRule="auto"/>
            </w:pPr>
            <w:r>
              <w:rPr>
                <w:rFonts w:ascii="Times New Roman" w:hAnsi="Times New Roman"/>
                <w:b w:val="0"/>
                <w:sz w:val="22"/>
              </w:rPr>
              <w:t>Ғимаратқа, бөлмелерге, жабдыққа және қауіпсіз шығу жолдарына жету мен оларды пайдалану мүмкіндігі. Оның жарамдылығы нақты пайдаланушымен бірге тексеріледі.</w:t>
            </w:r>
          </w:p>
        </w:tc>
      </w:tr>
      <w:tr>
        <w:tc>
          <w:tcPr>
            <w:tcW w:type="dxa" w:w="2592"/>
            <w:vAlign w:val="center"/>
          </w:tcPr>
          <w:p>
            <w:pPr>
              <w:spacing w:after="60" w:before="60" w:line="240" w:lineRule="auto"/>
            </w:pPr>
            <w:r>
              <w:rPr>
                <w:rFonts w:ascii="Times New Roman" w:hAnsi="Times New Roman"/>
                <w:b w:val="0"/>
                <w:sz w:val="22"/>
              </w:rPr>
              <w:t>12. Ақпараттық қолжетімділік</w:t>
            </w:r>
          </w:p>
        </w:tc>
        <w:tc>
          <w:tcPr>
            <w:tcW w:type="dxa" w:w="6811"/>
            <w:vAlign w:val="center"/>
          </w:tcPr>
          <w:p>
            <w:pPr>
              <w:spacing w:after="60" w:before="60" w:line="240" w:lineRule="auto"/>
            </w:pPr>
            <w:r>
              <w:rPr>
                <w:rFonts w:ascii="Times New Roman" w:hAnsi="Times New Roman"/>
                <w:b w:val="0"/>
                <w:sz w:val="22"/>
              </w:rPr>
              <w:t>Ақпаратты білім алушыға түсінікті әрі қабылдай алатын түрде ұсыну. Мәтіннің құрылымы, қаріптің оқылуы, сурет сипаттамасы және бейнедегі субтитр осыған жатады.</w:t>
            </w:r>
          </w:p>
        </w:tc>
      </w:tr>
      <w:tr>
        <w:tc>
          <w:tcPr>
            <w:tcW w:type="dxa" w:w="2592"/>
            <w:vAlign w:val="center"/>
          </w:tcPr>
          <w:p>
            <w:pPr>
              <w:spacing w:after="60" w:before="60" w:line="240" w:lineRule="auto"/>
            </w:pPr>
            <w:r>
              <w:rPr>
                <w:rFonts w:ascii="Times New Roman" w:hAnsi="Times New Roman"/>
                <w:b w:val="0"/>
                <w:sz w:val="22"/>
              </w:rPr>
              <w:t>13. Әмбебап дизайн</w:t>
            </w:r>
          </w:p>
        </w:tc>
        <w:tc>
          <w:tcPr>
            <w:tcW w:type="dxa" w:w="6811"/>
            <w:vAlign w:val="center"/>
          </w:tcPr>
          <w:p>
            <w:pPr>
              <w:spacing w:after="60" w:before="60" w:line="240" w:lineRule="auto"/>
            </w:pPr>
            <w:r>
              <w:rPr>
                <w:rFonts w:ascii="Times New Roman" w:hAnsi="Times New Roman"/>
                <w:b w:val="0"/>
                <w:sz w:val="22"/>
              </w:rPr>
              <w:t>Өнімдер мен ортаны мүмкіндігінше көп адамның қолдануына бастапқыдан ыңғайлап жобалау қағидасы. Мысалы, анық белгіленген бағыт көрсеткіштері көптеген пайдаланушыға көмектеседі.</w:t>
            </w:r>
          </w:p>
        </w:tc>
      </w:tr>
      <w:tr>
        <w:tc>
          <w:tcPr>
            <w:tcW w:type="dxa" w:w="2592"/>
            <w:vAlign w:val="center"/>
          </w:tcPr>
          <w:p>
            <w:pPr>
              <w:spacing w:after="60" w:before="60" w:line="240" w:lineRule="auto"/>
            </w:pPr>
            <w:r>
              <w:rPr>
                <w:rFonts w:ascii="Times New Roman" w:hAnsi="Times New Roman"/>
                <w:b w:val="0"/>
                <w:sz w:val="22"/>
              </w:rPr>
              <w:t>14. Оқытудың әмбебап дизайны</w:t>
            </w:r>
          </w:p>
        </w:tc>
        <w:tc>
          <w:tcPr>
            <w:tcW w:type="dxa" w:w="6811"/>
            <w:vAlign w:val="center"/>
          </w:tcPr>
          <w:p>
            <w:pPr>
              <w:spacing w:after="60" w:before="60" w:line="240" w:lineRule="auto"/>
            </w:pPr>
            <w:r>
              <w:rPr>
                <w:rFonts w:ascii="Times New Roman" w:hAnsi="Times New Roman"/>
                <w:b w:val="0"/>
                <w:sz w:val="22"/>
              </w:rPr>
              <w:t>Оқуға қызығу, ақпаратты қабылдау және білімін көрсету үшін бірнеше мүмкіндік ұсынатын педагогикалық жобалау тәсілі. Мысалы, ұғымды мәтінмен және сызбамен түсіндіру, жауапты ауызша не жазбаша беру. [3]</w:t>
            </w:r>
          </w:p>
        </w:tc>
      </w:tr>
      <w:tr>
        <w:tc>
          <w:tcPr>
            <w:tcW w:type="dxa" w:w="2592"/>
            <w:vAlign w:val="center"/>
          </w:tcPr>
          <w:p>
            <w:pPr>
              <w:spacing w:after="60" w:before="60" w:line="240" w:lineRule="auto"/>
            </w:pPr>
            <w:r>
              <w:rPr>
                <w:rFonts w:ascii="Times New Roman" w:hAnsi="Times New Roman"/>
                <w:b w:val="0"/>
                <w:sz w:val="22"/>
              </w:rPr>
              <w:t>15. Ақылға қонымды бейімдеу</w:t>
            </w:r>
          </w:p>
        </w:tc>
        <w:tc>
          <w:tcPr>
            <w:tcW w:type="dxa" w:w="6811"/>
            <w:vAlign w:val="center"/>
          </w:tcPr>
          <w:p>
            <w:pPr>
              <w:spacing w:after="60" w:before="60" w:line="240" w:lineRule="auto"/>
            </w:pPr>
            <w:r>
              <w:rPr>
                <w:rFonts w:ascii="Times New Roman" w:hAnsi="Times New Roman"/>
                <w:b w:val="0"/>
                <w:sz w:val="22"/>
              </w:rPr>
              <w:t>Белгілі адамның тең қатысуын қамтамасыз ету үшін нақты жағдайда қажетті, шамадан тыс немесе орынсыз ауыртпалық жүктемейтін өзгеріс. Мысалы, оқушының қажеттілігіне сай қосымша уақыт немесе қолжетімді материал қарастыру.</w:t>
            </w:r>
          </w:p>
        </w:tc>
      </w:tr>
      <w:tr>
        <w:tc>
          <w:tcPr>
            <w:tcW w:type="dxa" w:w="2592"/>
            <w:vAlign w:val="center"/>
          </w:tcPr>
          <w:p>
            <w:pPr>
              <w:spacing w:after="60" w:before="60" w:line="240" w:lineRule="auto"/>
            </w:pPr>
            <w:r>
              <w:rPr>
                <w:rFonts w:ascii="Times New Roman" w:hAnsi="Times New Roman"/>
                <w:b w:val="0"/>
                <w:sz w:val="22"/>
              </w:rPr>
              <w:t>16. Ассистивті технология</w:t>
            </w:r>
          </w:p>
        </w:tc>
        <w:tc>
          <w:tcPr>
            <w:tcW w:type="dxa" w:w="6811"/>
            <w:vAlign w:val="center"/>
          </w:tcPr>
          <w:p>
            <w:pPr>
              <w:spacing w:after="60" w:before="60" w:line="240" w:lineRule="auto"/>
            </w:pPr>
            <w:r>
              <w:rPr>
                <w:rFonts w:ascii="Times New Roman" w:hAnsi="Times New Roman"/>
                <w:b w:val="0"/>
                <w:sz w:val="22"/>
              </w:rPr>
              <w:t>Функционалдық мүмкіндікті қолдайтын құрал немесе технология. Экраннан оқитын бағдарлама, баламалы пернетақта және коммуникациялық құрылғы нақты қажеттілікке сәйкес таңдалады.</w:t>
            </w:r>
          </w:p>
        </w:tc>
      </w:tr>
    </w:tbl>
    <w:p>
      <w:pPr>
        <w:pStyle w:val="1"/>
      </w:pPr>
      <w:r>
        <w:t>Оқыту және бағалау ұғымдары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6811"/>
      </w:tblGrid>
      <w:tr>
        <w:trPr>
          <w:tblHeader/>
        </w:trPr>
        <w:tc>
          <w:tcPr>
            <w:tcW w:type="dxa" w:w="2592"/>
            <w:vAlign w:val="center"/>
            <w:shd w:fill="EEEEEE"/>
          </w:tcPr>
          <w:p>
            <w:pPr>
              <w:spacing w:after="60" w:before="60" w:line="240" w:lineRule="auto"/>
            </w:pPr>
            <w:r>
              <w:rPr>
                <w:rFonts w:ascii="Times New Roman" w:hAnsi="Times New Roman"/>
                <w:b/>
                <w:sz w:val="22"/>
              </w:rPr>
              <w:t>Термин</w:t>
            </w:r>
          </w:p>
        </w:tc>
        <w:tc>
          <w:tcPr>
            <w:tcW w:type="dxa" w:w="6811"/>
            <w:vAlign w:val="center"/>
            <w:shd w:fill="EEEEEE"/>
          </w:tcPr>
          <w:p>
            <w:pPr>
              <w:spacing w:after="60" w:before="60" w:line="240" w:lineRule="auto"/>
            </w:pPr>
            <w:r>
              <w:rPr>
                <w:rFonts w:ascii="Times New Roman" w:hAnsi="Times New Roman"/>
                <w:b/>
                <w:sz w:val="22"/>
              </w:rPr>
              <w:t>Анықтамасы және қолданылуы</w:t>
            </w:r>
          </w:p>
        </w:tc>
      </w:tr>
      <w:tr>
        <w:tc>
          <w:tcPr>
            <w:tcW w:type="dxa" w:w="2592"/>
            <w:vAlign w:val="center"/>
          </w:tcPr>
          <w:p>
            <w:pPr>
              <w:spacing w:after="60" w:before="60" w:line="240" w:lineRule="auto"/>
            </w:pPr>
            <w:r>
              <w:rPr>
                <w:rFonts w:ascii="Times New Roman" w:hAnsi="Times New Roman"/>
                <w:b w:val="0"/>
                <w:sz w:val="22"/>
              </w:rPr>
              <w:t>17. Саралап оқыту</w:t>
            </w:r>
          </w:p>
        </w:tc>
        <w:tc>
          <w:tcPr>
            <w:tcW w:type="dxa" w:w="6811"/>
            <w:vAlign w:val="center"/>
          </w:tcPr>
          <w:p>
            <w:pPr>
              <w:spacing w:after="60" w:before="60" w:line="240" w:lineRule="auto"/>
            </w:pPr>
            <w:r>
              <w:rPr>
                <w:rFonts w:ascii="Times New Roman" w:hAnsi="Times New Roman"/>
                <w:b w:val="0"/>
                <w:sz w:val="22"/>
              </w:rPr>
              <w:t>Оқушылардың дайындығын, оқу қарқынын және қажеттілігін ескеріп, тапсырма, ресурс немесе қолдау көлемін өзгерту. Бір оқу мақсатына әртүрлі көмек деңгейімен жетуге болады.</w:t>
            </w:r>
          </w:p>
        </w:tc>
      </w:tr>
      <w:tr>
        <w:tc>
          <w:tcPr>
            <w:tcW w:type="dxa" w:w="2592"/>
            <w:vAlign w:val="center"/>
          </w:tcPr>
          <w:p>
            <w:pPr>
              <w:spacing w:after="60" w:before="60" w:line="240" w:lineRule="auto"/>
            </w:pPr>
            <w:r>
              <w:rPr>
                <w:rFonts w:ascii="Times New Roman" w:hAnsi="Times New Roman"/>
                <w:b w:val="0"/>
                <w:sz w:val="22"/>
              </w:rPr>
              <w:t>18. Жеке оқу бағдарламасы</w:t>
            </w:r>
          </w:p>
        </w:tc>
        <w:tc>
          <w:tcPr>
            <w:tcW w:type="dxa" w:w="6811"/>
            <w:vAlign w:val="center"/>
          </w:tcPr>
          <w:p>
            <w:pPr>
              <w:spacing w:after="60" w:before="60" w:line="240" w:lineRule="auto"/>
            </w:pPr>
            <w:r>
              <w:rPr>
                <w:rFonts w:ascii="Times New Roman" w:hAnsi="Times New Roman"/>
                <w:b w:val="0"/>
                <w:sz w:val="22"/>
              </w:rPr>
              <w:t>Нақты білім алушының мүмкіндігі мен бағаланған қажеттілігіне сәйкес әзірленетін оқу мазмұны мен мақсаттар жүйесі. Ол негізсіз жеңілдету емес, тиісті тәртіппен келісілген оқу бағыты болуы керек.</w:t>
            </w:r>
          </w:p>
        </w:tc>
      </w:tr>
      <w:tr>
        <w:tc>
          <w:tcPr>
            <w:tcW w:type="dxa" w:w="2592"/>
            <w:vAlign w:val="center"/>
          </w:tcPr>
          <w:p>
            <w:pPr>
              <w:spacing w:after="60" w:before="60" w:line="240" w:lineRule="auto"/>
            </w:pPr>
            <w:r>
              <w:rPr>
                <w:rFonts w:ascii="Times New Roman" w:hAnsi="Times New Roman"/>
                <w:b w:val="0"/>
                <w:sz w:val="22"/>
              </w:rPr>
              <w:t>19. Оқу материалын бейімдеу</w:t>
            </w:r>
          </w:p>
        </w:tc>
        <w:tc>
          <w:tcPr>
            <w:tcW w:type="dxa" w:w="6811"/>
            <w:vAlign w:val="center"/>
          </w:tcPr>
          <w:p>
            <w:pPr>
              <w:spacing w:after="60" w:before="60" w:line="240" w:lineRule="auto"/>
            </w:pPr>
            <w:r>
              <w:rPr>
                <w:rFonts w:ascii="Times New Roman" w:hAnsi="Times New Roman"/>
                <w:b w:val="0"/>
                <w:sz w:val="22"/>
              </w:rPr>
              <w:t>Мазмұнға қолжетімділікті жақсарту үшін материалдың берілу тәсілін өзгерту. Мысалы, көлемді нұсқаулықты қадамдарға бөлу немесе ұсақ мәтінді үлкейту.</w:t>
            </w:r>
          </w:p>
        </w:tc>
      </w:tr>
      <w:tr>
        <w:tc>
          <w:tcPr>
            <w:tcW w:type="dxa" w:w="2592"/>
            <w:vAlign w:val="center"/>
          </w:tcPr>
          <w:p>
            <w:pPr>
              <w:spacing w:after="60" w:before="60" w:line="240" w:lineRule="auto"/>
            </w:pPr>
            <w:r>
              <w:rPr>
                <w:rFonts w:ascii="Times New Roman" w:hAnsi="Times New Roman"/>
                <w:b w:val="0"/>
                <w:sz w:val="22"/>
              </w:rPr>
              <w:t>20. Оқу мақсатын өзгерту</w:t>
            </w:r>
          </w:p>
        </w:tc>
        <w:tc>
          <w:tcPr>
            <w:tcW w:type="dxa" w:w="6811"/>
            <w:vAlign w:val="center"/>
          </w:tcPr>
          <w:p>
            <w:pPr>
              <w:spacing w:after="60" w:before="60" w:line="240" w:lineRule="auto"/>
            </w:pPr>
            <w:r>
              <w:rPr>
                <w:rFonts w:ascii="Times New Roman" w:hAnsi="Times New Roman"/>
                <w:b w:val="0"/>
                <w:sz w:val="22"/>
              </w:rPr>
              <w:t>Білім алушы меңгеретін күтілетін нәтижені оның қажеттілігіне сай қайта белгілеу. Мұны материалдың қаріп өлшемін өзгертумен шатастырмайды: мақсатты өзгерту мазмұндық шешім болып саналады.</w:t>
            </w:r>
          </w:p>
        </w:tc>
      </w:tr>
      <w:tr>
        <w:tc>
          <w:tcPr>
            <w:tcW w:type="dxa" w:w="2592"/>
            <w:vAlign w:val="center"/>
          </w:tcPr>
          <w:p>
            <w:pPr>
              <w:spacing w:after="60" w:before="60" w:line="240" w:lineRule="auto"/>
            </w:pPr>
            <w:r>
              <w:rPr>
                <w:rFonts w:ascii="Times New Roman" w:hAnsi="Times New Roman"/>
                <w:b w:val="0"/>
                <w:sz w:val="22"/>
              </w:rPr>
              <w:t>21. Қалыптастырушы бағалау</w:t>
            </w:r>
          </w:p>
        </w:tc>
        <w:tc>
          <w:tcPr>
            <w:tcW w:type="dxa" w:w="6811"/>
            <w:vAlign w:val="center"/>
          </w:tcPr>
          <w:p>
            <w:pPr>
              <w:spacing w:after="60" w:before="60" w:line="240" w:lineRule="auto"/>
            </w:pPr>
            <w:r>
              <w:rPr>
                <w:rFonts w:ascii="Times New Roman" w:hAnsi="Times New Roman"/>
                <w:b w:val="0"/>
                <w:sz w:val="22"/>
              </w:rPr>
              <w:t>Оқу барысында ілгерілеуді анықтап, келесі оқыту қадамына кері байланыс беретін бағалау. Қателерді тіркеумен бірге қандай қолдау нәтиже бергені де талданады.</w:t>
            </w:r>
          </w:p>
        </w:tc>
      </w:tr>
      <w:tr>
        <w:tc>
          <w:tcPr>
            <w:tcW w:type="dxa" w:w="2592"/>
            <w:vAlign w:val="center"/>
          </w:tcPr>
          <w:p>
            <w:pPr>
              <w:spacing w:after="60" w:before="60" w:line="240" w:lineRule="auto"/>
            </w:pPr>
            <w:r>
              <w:rPr>
                <w:rFonts w:ascii="Times New Roman" w:hAnsi="Times New Roman"/>
                <w:b w:val="0"/>
                <w:sz w:val="22"/>
              </w:rPr>
              <w:t>22. Баламалы коммуникация</w:t>
            </w:r>
          </w:p>
        </w:tc>
        <w:tc>
          <w:tcPr>
            <w:tcW w:type="dxa" w:w="6811"/>
            <w:vAlign w:val="center"/>
          </w:tcPr>
          <w:p>
            <w:pPr>
              <w:spacing w:after="60" w:before="60" w:line="240" w:lineRule="auto"/>
            </w:pPr>
            <w:r>
              <w:rPr>
                <w:rFonts w:ascii="Times New Roman" w:hAnsi="Times New Roman"/>
                <w:b w:val="0"/>
                <w:sz w:val="22"/>
              </w:rPr>
              <w:t>Сөйлеуді толықтыратын немесе алмастыратын қарым-қатынас тәсілдері. Сурет, белгі, ым немесе құрылғы арқылы жауап беру оқушының ойын білдіруіне мүмкіндік жасайды.</w:t>
            </w:r>
          </w:p>
        </w:tc>
      </w:tr>
      <w:tr>
        <w:tc>
          <w:tcPr>
            <w:tcW w:type="dxa" w:w="2592"/>
            <w:vAlign w:val="center"/>
          </w:tcPr>
          <w:p>
            <w:pPr>
              <w:spacing w:after="60" w:before="60" w:line="240" w:lineRule="auto"/>
            </w:pPr>
            <w:r>
              <w:rPr>
                <w:rFonts w:ascii="Times New Roman" w:hAnsi="Times New Roman"/>
                <w:b w:val="0"/>
                <w:sz w:val="22"/>
              </w:rPr>
              <w:t>23. Құрдастар қолдауы</w:t>
            </w:r>
          </w:p>
        </w:tc>
        <w:tc>
          <w:tcPr>
            <w:tcW w:type="dxa" w:w="6811"/>
            <w:vAlign w:val="center"/>
          </w:tcPr>
          <w:p>
            <w:pPr>
              <w:spacing w:after="60" w:before="60" w:line="240" w:lineRule="auto"/>
            </w:pPr>
            <w:r>
              <w:rPr>
                <w:rFonts w:ascii="Times New Roman" w:hAnsi="Times New Roman"/>
                <w:b w:val="0"/>
                <w:sz w:val="22"/>
              </w:rPr>
              <w:t>Оқушылардың бір-біріне ұйымдастырылған оқу және әлеуметтік көмегі. Жұптағы рөлдер алмастырылып, көмек алушының дербестігі сақталады; құрдас маманның міндетін атқармайды.</w:t>
            </w:r>
          </w:p>
        </w:tc>
      </w:tr>
    </w:tbl>
    <w:p>
      <w:pPr>
        <w:pStyle w:val="1"/>
      </w:pPr>
      <w:r>
        <w:t>Қолдау және ынтымақтастық ұғымдары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6811"/>
      </w:tblGrid>
      <w:tr>
        <w:trPr>
          <w:tblHeader/>
        </w:trPr>
        <w:tc>
          <w:tcPr>
            <w:tcW w:type="dxa" w:w="2592"/>
            <w:vAlign w:val="center"/>
            <w:shd w:fill="EEEEEE"/>
          </w:tcPr>
          <w:p>
            <w:pPr>
              <w:spacing w:after="60" w:before="60" w:line="240" w:lineRule="auto"/>
            </w:pPr>
            <w:r>
              <w:rPr>
                <w:rFonts w:ascii="Times New Roman" w:hAnsi="Times New Roman"/>
                <w:b/>
                <w:sz w:val="22"/>
              </w:rPr>
              <w:t>Термин</w:t>
            </w:r>
          </w:p>
        </w:tc>
        <w:tc>
          <w:tcPr>
            <w:tcW w:type="dxa" w:w="6811"/>
            <w:vAlign w:val="center"/>
            <w:shd w:fill="EEEEEE"/>
          </w:tcPr>
          <w:p>
            <w:pPr>
              <w:spacing w:after="60" w:before="60" w:line="240" w:lineRule="auto"/>
            </w:pPr>
            <w:r>
              <w:rPr>
                <w:rFonts w:ascii="Times New Roman" w:hAnsi="Times New Roman"/>
                <w:b/>
                <w:sz w:val="22"/>
              </w:rPr>
              <w:t>Анықтамасы және қолданылуы</w:t>
            </w:r>
          </w:p>
        </w:tc>
      </w:tr>
      <w:tr>
        <w:tc>
          <w:tcPr>
            <w:tcW w:type="dxa" w:w="2592"/>
            <w:vAlign w:val="center"/>
          </w:tcPr>
          <w:p>
            <w:pPr>
              <w:spacing w:after="60" w:before="60" w:line="240" w:lineRule="auto"/>
            </w:pPr>
            <w:r>
              <w:rPr>
                <w:rFonts w:ascii="Times New Roman" w:hAnsi="Times New Roman"/>
                <w:b w:val="0"/>
                <w:sz w:val="22"/>
              </w:rPr>
              <w:t>24. ЕБҚ бағалау</w:t>
            </w:r>
          </w:p>
        </w:tc>
        <w:tc>
          <w:tcPr>
            <w:tcW w:type="dxa" w:w="6811"/>
            <w:vAlign w:val="center"/>
          </w:tcPr>
          <w:p>
            <w:pPr>
              <w:spacing w:after="60" w:before="60" w:line="240" w:lineRule="auto"/>
            </w:pPr>
            <w:r>
              <w:rPr>
                <w:rFonts w:ascii="Times New Roman" w:hAnsi="Times New Roman"/>
                <w:b w:val="0"/>
                <w:sz w:val="22"/>
              </w:rPr>
              <w:t>Білім алу үшін қандай арнаулы жағдайлар қажеттігін анықтау. Бағалау нәтижесі оқушыны таңбалауға емес, қолдауды жоспарлауға қызмет етеді. [2]</w:t>
            </w:r>
          </w:p>
        </w:tc>
      </w:tr>
      <w:tr>
        <w:tc>
          <w:tcPr>
            <w:tcW w:type="dxa" w:w="2592"/>
            <w:vAlign w:val="center"/>
          </w:tcPr>
          <w:p>
            <w:pPr>
              <w:spacing w:after="60" w:before="60" w:line="240" w:lineRule="auto"/>
            </w:pPr>
            <w:r>
              <w:rPr>
                <w:rFonts w:ascii="Times New Roman" w:hAnsi="Times New Roman"/>
                <w:b w:val="0"/>
                <w:sz w:val="22"/>
              </w:rPr>
              <w:t>25. Білім алу үшін арнаулы жағдайлар</w:t>
            </w:r>
          </w:p>
        </w:tc>
        <w:tc>
          <w:tcPr>
            <w:tcW w:type="dxa" w:w="6811"/>
            <w:vAlign w:val="center"/>
          </w:tcPr>
          <w:p>
            <w:pPr>
              <w:spacing w:after="60" w:before="60" w:line="240" w:lineRule="auto"/>
            </w:pPr>
            <w:r>
              <w:rPr>
                <w:rFonts w:ascii="Times New Roman" w:hAnsi="Times New Roman"/>
                <w:b w:val="0"/>
                <w:sz w:val="22"/>
              </w:rPr>
              <w:t>Оқу бағдарламалары, оқыту тәсілдері, құралдар, қолжетімді орта және қажетті қолдау қызметтері. Жеке құрамын білім алушының нақты қажеттілігі анықтайды. [2]</w:t>
            </w:r>
          </w:p>
        </w:tc>
      </w:tr>
      <w:tr>
        <w:tc>
          <w:tcPr>
            <w:tcW w:type="dxa" w:w="2592"/>
            <w:vAlign w:val="center"/>
          </w:tcPr>
          <w:p>
            <w:pPr>
              <w:spacing w:after="60" w:before="60" w:line="240" w:lineRule="auto"/>
            </w:pPr>
            <w:r>
              <w:rPr>
                <w:rFonts w:ascii="Times New Roman" w:hAnsi="Times New Roman"/>
                <w:b w:val="0"/>
                <w:sz w:val="22"/>
              </w:rPr>
              <w:t>26. Психологиялық-педагогикалық қолдау</w:t>
            </w:r>
          </w:p>
        </w:tc>
        <w:tc>
          <w:tcPr>
            <w:tcW w:type="dxa" w:w="6811"/>
            <w:vAlign w:val="center"/>
          </w:tcPr>
          <w:p>
            <w:pPr>
              <w:spacing w:after="60" w:before="60" w:line="240" w:lineRule="auto"/>
            </w:pPr>
            <w:r>
              <w:rPr>
                <w:rFonts w:ascii="Times New Roman" w:hAnsi="Times New Roman"/>
                <w:b w:val="0"/>
                <w:sz w:val="22"/>
              </w:rPr>
              <w:t>Білім алушыны табысты оқыту мен дамытуға жағдай жасайтын жүйелі ұйымдастырылған қызмет. Мұғалім мен мамандардың әрекеті ортақ жоспармен байланысады. [2]</w:t>
            </w:r>
          </w:p>
        </w:tc>
      </w:tr>
      <w:tr>
        <w:tc>
          <w:tcPr>
            <w:tcW w:type="dxa" w:w="2592"/>
            <w:vAlign w:val="center"/>
          </w:tcPr>
          <w:p>
            <w:pPr>
              <w:spacing w:after="60" w:before="60" w:line="240" w:lineRule="auto"/>
            </w:pPr>
            <w:r>
              <w:rPr>
                <w:rFonts w:ascii="Times New Roman" w:hAnsi="Times New Roman"/>
                <w:b w:val="0"/>
                <w:sz w:val="22"/>
              </w:rPr>
              <w:t>27. ППҚҚ</w:t>
            </w:r>
          </w:p>
        </w:tc>
        <w:tc>
          <w:tcPr>
            <w:tcW w:type="dxa" w:w="6811"/>
            <w:vAlign w:val="center"/>
          </w:tcPr>
          <w:p>
            <w:pPr>
              <w:spacing w:after="60" w:before="60" w:line="240" w:lineRule="auto"/>
            </w:pPr>
            <w:r>
              <w:rPr>
                <w:rFonts w:ascii="Times New Roman" w:hAnsi="Times New Roman"/>
                <w:b w:val="0"/>
                <w:sz w:val="22"/>
              </w:rPr>
              <w:t>Психологиялық-педагогикалық қолдау қызметі. Білім беру ұйымындағы қолдау ісін үйлестіріп, қажеттіліктерді бағалау мен педагогикалық көмектің сабақтастығын қамтамасыз ететін алқалы орган. [2]</w:t>
            </w:r>
          </w:p>
        </w:tc>
      </w:tr>
      <w:tr>
        <w:tc>
          <w:tcPr>
            <w:tcW w:type="dxa" w:w="2592"/>
            <w:vAlign w:val="center"/>
          </w:tcPr>
          <w:p>
            <w:pPr>
              <w:spacing w:after="60" w:before="60" w:line="240" w:lineRule="auto"/>
            </w:pPr>
            <w:r>
              <w:rPr>
                <w:rFonts w:ascii="Times New Roman" w:hAnsi="Times New Roman"/>
                <w:b w:val="0"/>
                <w:sz w:val="22"/>
              </w:rPr>
              <w:t>28. ПМПК</w:t>
            </w:r>
          </w:p>
        </w:tc>
        <w:tc>
          <w:tcPr>
            <w:tcW w:type="dxa" w:w="6811"/>
            <w:vAlign w:val="center"/>
          </w:tcPr>
          <w:p>
            <w:pPr>
              <w:spacing w:after="60" w:before="60" w:line="240" w:lineRule="auto"/>
            </w:pPr>
            <w:r>
              <w:rPr>
                <w:rFonts w:ascii="Times New Roman" w:hAnsi="Times New Roman"/>
                <w:b w:val="0"/>
                <w:sz w:val="22"/>
              </w:rPr>
              <w:t>Психологиялық-медициналық-педагогикалық консультация. Баланың ерекшеліктері мен білім беру қажеттіліктерін кешенді бағалау және қажетті білім беру жағдайлары бойынша ұсыным беру міндеттерін атқарады.</w:t>
            </w:r>
          </w:p>
        </w:tc>
      </w:tr>
      <w:tr>
        <w:tc>
          <w:tcPr>
            <w:tcW w:type="dxa" w:w="2592"/>
            <w:vAlign w:val="center"/>
          </w:tcPr>
          <w:p>
            <w:pPr>
              <w:spacing w:after="60" w:before="60" w:line="240" w:lineRule="auto"/>
            </w:pPr>
            <w:r>
              <w:rPr>
                <w:rFonts w:ascii="Times New Roman" w:hAnsi="Times New Roman"/>
                <w:b w:val="0"/>
                <w:sz w:val="22"/>
              </w:rPr>
              <w:t>29. Ата-анамен серіктестік</w:t>
            </w:r>
          </w:p>
        </w:tc>
        <w:tc>
          <w:tcPr>
            <w:tcW w:type="dxa" w:w="6811"/>
            <w:vAlign w:val="center"/>
          </w:tcPr>
          <w:p>
            <w:pPr>
              <w:spacing w:after="60" w:before="60" w:line="240" w:lineRule="auto"/>
            </w:pPr>
            <w:r>
              <w:rPr>
                <w:rFonts w:ascii="Times New Roman" w:hAnsi="Times New Roman"/>
                <w:b w:val="0"/>
                <w:sz w:val="22"/>
              </w:rPr>
              <w:t>Отбасы мен білім беру ұйымының баланың мүддесіне сай ақпарат алмасып, қолдау туралы шешімдерді бірлесіп талқылауы. Қарым-қатынаста түсінікті тіл, келісім және құпиялылық сақталады.</w:t>
            </w:r>
          </w:p>
        </w:tc>
      </w:tr>
      <w:tr>
        <w:tc>
          <w:tcPr>
            <w:tcW w:type="dxa" w:w="2592"/>
            <w:vAlign w:val="center"/>
          </w:tcPr>
          <w:p>
            <w:pPr>
              <w:spacing w:after="60" w:before="60" w:line="240" w:lineRule="auto"/>
            </w:pPr>
            <w:r>
              <w:rPr>
                <w:rFonts w:ascii="Times New Roman" w:hAnsi="Times New Roman"/>
                <w:b w:val="0"/>
                <w:sz w:val="22"/>
              </w:rPr>
              <w:t>30. Инклюзивті мәдениет</w:t>
            </w:r>
          </w:p>
        </w:tc>
        <w:tc>
          <w:tcPr>
            <w:tcW w:type="dxa" w:w="6811"/>
            <w:vAlign w:val="center"/>
          </w:tcPr>
          <w:p>
            <w:pPr>
              <w:spacing w:after="60" w:before="60" w:line="240" w:lineRule="auto"/>
            </w:pPr>
            <w:r>
              <w:rPr>
                <w:rFonts w:ascii="Times New Roman" w:hAnsi="Times New Roman"/>
                <w:b w:val="0"/>
                <w:sz w:val="22"/>
              </w:rPr>
              <w:t>Әр адамның құндылығын мойындайтын, әртүрлілікті қабылдайтын және ынтымақтастықты қолдайтын ортақ құндылықтар мен күнделікті әрекеттер. Ол сынып ережесінде, мұғалім тілінде және оқушы пікірін тыңдауда көрінеді.</w:t>
            </w:r>
          </w:p>
        </w:tc>
      </w:tr>
    </w:tbl>
    <w:p>
      <w:pPr>
        <w:pStyle w:val="1"/>
      </w:pPr>
      <w:r>
        <w:t>Ұғымдарды байланыстыру</w:t>
      </w:r>
    </w:p>
    <w:p>
      <w:pPr>
        <w:pStyle w:val="af"/>
        <w:spacing w:line="276" w:lineRule="auto" w:after="120"/>
        <w:ind w:firstLine="720"/>
        <w:jc w:val="both"/>
      </w:pPr>
      <w:r>
        <w:rPr>
          <w:lang w:val="kk-KZ"/>
        </w:rPr>
        <w:t>ЕБҚ бағалау қажетті қолдауды анықтайды; арнаулы жағдайлар оны іске асыруға мүмкіндік береді; қолжетімді орта мен саралап оқыту қатысуды арттыруға бағытталады. Мысалы, есептің шартын оқу қиын болғанда мұғалім бірден оқу мақсатын өзгертпейді. Алдымен мәтінді анық құрылымдайды, нұсқаулықты түсіндіреді және оқушыға қолайлы жауап тәсілін ұсынады. Қиындық сақталса, ППҚҚ және ата-анамен бірге қолдауды қайта қарастырады. Осылайша терминдер жеке атаулар ретінде емес, педагогикалық шешімнің өзара байланысты бөліктері ретінде қолданылады.</w:t>
      </w:r>
    </w:p>
    <w:p>
      <w:pPr>
        <w:pStyle w:val="1"/>
      </w:pPr>
      <w:r>
        <w:t>Пайдаланылған әдебиеттер</w:t>
      </w:r>
    </w:p>
    <w:p>
      <w:pPr>
        <w:spacing w:after="120"/>
        <w:jc w:val="left"/>
      </w:pPr>
      <w:r>
        <w:rPr>
          <w:sz w:val="22"/>
        </w:rPr>
        <w:t>1. Коржова Г.М. Әдістемелік ұсынымдардағы анықтамалар мен қысқартулар. 2020. 4-бет. URL: https://special-edu.kz/uploads/files/methodsdoc/2020mdocs/Korjova2020/files/basic-html/page4.html</w:t>
      </w:r>
    </w:p>
    <w:p>
      <w:pPr>
        <w:spacing w:after="120"/>
        <w:jc w:val="left"/>
      </w:pPr>
      <w:r>
        <w:rPr>
          <w:sz w:val="22"/>
        </w:rPr>
        <w:t>2. Білім беру ұйымдарындағы психологиялық-педагогикалық қолдау қызметінің жұмыс істеу қағидаларын бекіту туралы. ҚР Оқу-ағарту министрінің 29.04.2025 № 92 бұйрығы, қолданыстағы редакция. URL: https://old.adilet.zan.kz/kaz/docs/V2500036047</w:t>
      </w:r>
    </w:p>
    <w:p>
      <w:pPr>
        <w:spacing w:after="120"/>
        <w:jc w:val="left"/>
      </w:pPr>
      <w:r>
        <w:rPr>
          <w:sz w:val="22"/>
        </w:rPr>
        <w:t>3. CAST. Universal Design for Learning Guidelines version 3.0. 2024. URL: https://udlguidelines.cast.org/</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1-апта БӨЖ</dc:title>
  <dc:subject>Инклюзивті білім беру ортасы бойынша глоссарий</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