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БӨЖ1</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Инклюзивті білім беру ортасы</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Инклюзивті білім беру мәселелерін зерттеген отандық және шетелдік ғалымдар</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Жаканбаева Б.Б.</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Қазақстандық зерттеушілер</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Шетелдік зерттеушілер</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Салыстыру және практикалық қорытынды</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5</w:t>
          </w:r>
        </w:p>
      </w:sdtContent>
    </w:sdt>
    <w:p>
      <w:pPr>
        <w:pStyle w:val="1"/>
        <w:pageBreakBefore/>
      </w:pPr>
      <w:r>
        <w:t>Кіріспе</w:t>
      </w:r>
    </w:p>
    <w:p>
      <w:pPr>
        <w:pStyle w:val="af"/>
        <w:spacing w:line="276" w:lineRule="auto" w:after="120"/>
        <w:ind w:firstLine="720"/>
        <w:jc w:val="both"/>
      </w:pPr>
      <w:r>
        <w:rPr>
          <w:lang w:val="kk-KZ"/>
        </w:rPr>
        <w:t>Инклюзивті білім беру мәселесін зерттеу оқушыны жалпы сыныпқа орналастырумен шектелмейді. Ғалымдар мұғалімнің дайындығын, мектеп мәдениетін, қатысу кедергілерін және сабақтағы педагогикалық шешімдерді қарастырады. Бұл жұмыста Қазақстаннан З.А. Мовкебаева мен И.А. Оралканованың, шетелден Тони Бут, Мел Эйнскоу және Лани Флорианның жарияланған еңбектері салыстырылады. Мақсат — авторлардың нақты зерттеу бағытын анықтап, болашақ пән мұғалімінің жұмысына қатысты қорытынды шығару. Талдау әдеби деректерге негізделеді; жеке сауалнама жүргізілген жоқ.</w:t>
      </w:r>
    </w:p>
    <w:p>
      <w:pPr>
        <w:pStyle w:val="1"/>
      </w:pPr>
      <w:r>
        <w:t>Қазақстандық зерттеушілер</w:t>
      </w:r>
    </w:p>
    <w:p>
      <w:pPr>
        <w:pStyle w:val="21"/>
      </w:pPr>
      <w:r>
        <w:t>З.А. Мовкебаева</w:t>
      </w:r>
    </w:p>
    <w:p>
      <w:pPr>
        <w:pStyle w:val="af"/>
        <w:spacing w:line="276" w:lineRule="auto" w:after="120"/>
        <w:ind w:firstLine="720"/>
        <w:jc w:val="both"/>
      </w:pPr>
      <w:r>
        <w:rPr>
          <w:lang w:val="kk-KZ"/>
        </w:rPr>
        <w:t>З.А. Мовкебаева Н.В. Сюй-фу-шунмен бірге арнайы педагогтің кәсіби сөйлеу мәдениетін инклюзивті мәдениеттің бір бөлігі ретінде зерттейді. 2022 жылғы мақалада арнайы педагогика және инклюзивті білім беру бағдарламаларына контент-талдау жасалған. Авторлар болашақ маманның әртүрлі білім алушылармен қарым-қатынас жасау дайындығын қарастырып, толерантты коммуникация құзыретін кәсіби даярлыққа енгізудің қажеттігін негіздейді. [1]</w:t>
      </w:r>
    </w:p>
    <w:p>
      <w:pPr>
        <w:pStyle w:val="af"/>
        <w:spacing w:line="276" w:lineRule="auto" w:after="120"/>
        <w:ind w:firstLine="720"/>
        <w:jc w:val="both"/>
      </w:pPr>
      <w:r>
        <w:rPr>
          <w:lang w:val="kk-KZ"/>
        </w:rPr>
        <w:t>Бұл зерттеудің мәні — инклюзивті ортаның тіл арқылы да қалыптасатынын көрсетуі. Оқушыға үнемі әлсіздігін білдіретін атау беру оның сыныптағы мәртебесіне әсер етуі мүмкін. Менің педагогикалық қорытындым: мұғалім түсінікті нұсқаулық қолданып, баланың қажеттілігін құрметпен талқылауы керек. Мысалы, «сен мұны істей алмайсың» деудің орнына тапсырмадағы қиын кезеңді анықтап, қолайлы қолдау ұсынуға болады. Мақаладағы қорытындыны барлық мектептің жағдайына автоматты түрде таратуға болмайды: оның талдау нысаны жоғары оқу орнындағы даярлық бағдарламалары болған.</w:t>
      </w:r>
    </w:p>
    <w:p>
      <w:pPr>
        <w:pStyle w:val="21"/>
      </w:pPr>
      <w:r>
        <w:t>И.А. Оралканова</w:t>
      </w:r>
    </w:p>
    <w:p>
      <w:pPr>
        <w:pStyle w:val="af"/>
        <w:spacing w:line="276" w:lineRule="auto" w:after="120"/>
        <w:ind w:firstLine="720"/>
        <w:jc w:val="both"/>
      </w:pPr>
      <w:r>
        <w:rPr>
          <w:lang w:val="kk-KZ"/>
        </w:rPr>
        <w:t>И.А. Оралканованың зерттеу бағыты бастауыш сынып мұғалімінің инклюзивті оқытуға дайындығымен байланысты. З.А. Мовкебаевамен бірлескен «Анализ состояния готовности учителей начальных классов к работе в условиях инклюзивного образования» мақаласы осы мәселені тікелей қарастырады. [2] Мұғалімнің даярлығы тақырыбы қолдау құралын білумен бірге баланы қабылдау, кәсіби білім және оны сабақта қолдану байланысын талдауға мүмкіндік береді.</w:t>
      </w:r>
    </w:p>
    <w:p>
      <w:pPr>
        <w:pStyle w:val="af"/>
        <w:spacing w:line="276" w:lineRule="auto" w:after="120"/>
        <w:ind w:firstLine="720"/>
        <w:jc w:val="both"/>
      </w:pPr>
      <w:r>
        <w:rPr>
          <w:lang w:val="kk-KZ"/>
        </w:rPr>
        <w:t>Бұл бағытты пән мұғаліміне қолданғанда мен үш сұрақты бөліп көрсетемін: әр оқушының оқу құқығын мойындаймын ба; тапсырманы бейімдеудің мақсатын түсінемін бе; нақты сабақта қолдауды ұйымдастыра аламын ба? Бұл сұрақтар — жұмыстың авторлық талдауы. Мысалы, информатикада кодты теру қиындығы оқушының алгоритмді түсінбейтінін білдірмейді. Мұғалім алгоритмдік ойлауды тексеру үшін дайын блоктардан құрастыру немесе ауызша түсіндіру мүмкіндігін қарастыра алады. Сондықтан кәсіби даярлық оқушының әрекетін дұрыс түсіндірумен және қолдау тәсілін таңдаумен байланысады.</w:t>
      </w:r>
    </w:p>
    <w:p>
      <w:pPr>
        <w:pStyle w:val="1"/>
      </w:pPr>
      <w:r>
        <w:t>Шетелдік зерттеушілер</w:t>
      </w:r>
    </w:p>
    <w:p>
      <w:pPr>
        <w:pStyle w:val="21"/>
      </w:pPr>
      <w:r>
        <w:t>Тони Бут және Мел Эйнскоу</w:t>
      </w:r>
    </w:p>
    <w:p>
      <w:pPr>
        <w:pStyle w:val="af"/>
        <w:spacing w:line="276" w:lineRule="auto" w:after="120"/>
        <w:ind w:firstLine="720"/>
        <w:jc w:val="both"/>
      </w:pPr>
      <w:r>
        <w:rPr>
          <w:lang w:val="kk-KZ"/>
        </w:rPr>
        <w:t>Тони Бут пен Мел Эйнскоу әзірлеген Index for Inclusion мектептің өзін-өзі талдауына арналған құрал болып саналады. Онда оқу мен қатысу кедергілері, оларды азайту ресурстары және мектеп қауымдастығының пікірі қарастырылады. Мәдениет, саясат және практика өзара байланысты бағыттар ретінде ұсынылады. [3] Буттың 2012 жылғы авторлық мақаласы 2011 жылғы жаңартылған басылымның құндылықтарға негізделген мектеп дамуына бағытталғанын түсіндіреді. [4]</w:t>
      </w:r>
    </w:p>
    <w:p>
      <w:pPr>
        <w:pStyle w:val="af"/>
        <w:spacing w:line="276" w:lineRule="auto" w:after="120"/>
        <w:ind w:firstLine="720"/>
        <w:jc w:val="both"/>
      </w:pPr>
      <w:r>
        <w:rPr>
          <w:lang w:val="kk-KZ"/>
        </w:rPr>
        <w:t>Екі автордың ортақ еңбегін олардың әрқайсысына жеке, дәлелденбеген тұжырымдар бөлу арқылы сипаттау дұрыс емес. Олардың бірлескен үлесі — инклюзияны мектептің тұтас дамуы ретінде қарастыру. Осы тәсілден шығатын менің қорытындым: пандус орнату қажет болғанымен, сыныпта оқушының дауысын тыңдамаса, орта толық қолжетімді болмайды. Мектеп өзін бағалағанда оқушыдан қандай жағдайда тапсырмаға қатысу қиындайтынын, ата-анадан ақпарат алу арнасының ыңғайлылығын, мұғалімнен қолдау ресурсының жеткіліктілігін сұрай алады. Бұл сұрақтар нақты жергілікті кедергілерді анықтауға қызмет етеді.</w:t>
      </w:r>
    </w:p>
    <w:p>
      <w:pPr>
        <w:pStyle w:val="21"/>
      </w:pPr>
      <w:r>
        <w:t>Лани Флориан</w:t>
      </w:r>
    </w:p>
    <w:p>
      <w:pPr>
        <w:pStyle w:val="af"/>
        <w:spacing w:line="276" w:lineRule="auto" w:after="120"/>
        <w:ind w:firstLine="720"/>
        <w:jc w:val="both"/>
      </w:pPr>
      <w:r>
        <w:rPr>
          <w:lang w:val="kk-KZ"/>
        </w:rPr>
        <w:t>Лани Флорианның инклюзивті педагогика туралы 2015 жылғы еңбегі барлық оқушыға бай оқу мүмкіндіктерін ұсынуды және сынып қауымдастығына қатысу арқылы оқуды қарастырады. Әдіс жеке айырмашылықтарды ескереді, сонымен бірге кейбір білім алушыларды өзгеше топ ретінде таңбалаудың тәуекелін азайтуға ұмтылады. Автор педагогикалық әрекетті бағалау және оған дәлел жинау тәсілін де сипаттайды. [5]</w:t>
      </w:r>
    </w:p>
    <w:p>
      <w:pPr>
        <w:pStyle w:val="af"/>
        <w:spacing w:line="276" w:lineRule="auto" w:after="120"/>
        <w:ind w:firstLine="720"/>
        <w:jc w:val="both"/>
      </w:pPr>
      <w:r>
        <w:rPr>
          <w:lang w:val="kk-KZ"/>
        </w:rPr>
        <w:t>Бұл тұжырымнан мен ортақ тапсырманың бірнеше орындалу жолын жоспарлау қажеттігін шығарамын. Математика сабағында бір есепті сурет, заттық модель немесе символдық өрнек арқылы түсіндіруге болады. Қолдау құралын бүкіл сыныпқа ұсыну оны пайдаланатын оқушының бөлектенуін азайтуы мүмкін. Алайда барлық оқушыға бірдей мүмкіндік ұсыну жеке маман көмегінен бас тартуды білдірмейді. Қажетті қосымша қолдау ортақ оқытуға қатысуын күшейту үшін сақталады.</w:t>
      </w:r>
    </w:p>
    <w:p>
      <w:pPr>
        <w:pStyle w:val="1"/>
      </w:pPr>
      <w:r>
        <w:t>Салыстыру және практикалық қорытынды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2088"/>
        <w:gridCol w:w="3024"/>
        <w:gridCol w:w="4291"/>
      </w:tblGrid>
      <w:tr>
        <w:trPr>
          <w:tblHeader/>
        </w:trPr>
        <w:tc>
          <w:tcPr>
            <w:tcW w:type="dxa" w:w="2088"/>
            <w:vAlign w:val="center"/>
            <w:shd w:fill="EEEEEE"/>
          </w:tcPr>
          <w:p>
            <w:pPr>
              <w:spacing w:after="60" w:before="60" w:line="240" w:lineRule="auto"/>
            </w:pPr>
            <w:r>
              <w:rPr>
                <w:rFonts w:ascii="Times New Roman" w:hAnsi="Times New Roman"/>
                <w:b/>
                <w:sz w:val="22"/>
              </w:rPr>
              <w:t>Зерттеуші</w:t>
            </w:r>
          </w:p>
        </w:tc>
        <w:tc>
          <w:tcPr>
            <w:tcW w:type="dxa" w:w="3024"/>
            <w:vAlign w:val="center"/>
            <w:shd w:fill="EEEEEE"/>
          </w:tcPr>
          <w:p>
            <w:pPr>
              <w:spacing w:after="60" w:before="60" w:line="240" w:lineRule="auto"/>
            </w:pPr>
            <w:r>
              <w:rPr>
                <w:rFonts w:ascii="Times New Roman" w:hAnsi="Times New Roman"/>
                <w:b/>
                <w:sz w:val="22"/>
              </w:rPr>
              <w:t>Талдау өзегі</w:t>
            </w:r>
          </w:p>
        </w:tc>
        <w:tc>
          <w:tcPr>
            <w:tcW w:type="dxa" w:w="4291"/>
            <w:vAlign w:val="center"/>
            <w:shd w:fill="EEEEEE"/>
          </w:tcPr>
          <w:p>
            <w:pPr>
              <w:spacing w:after="60" w:before="60" w:line="240" w:lineRule="auto"/>
            </w:pPr>
            <w:r>
              <w:rPr>
                <w:rFonts w:ascii="Times New Roman" w:hAnsi="Times New Roman"/>
                <w:b/>
                <w:sz w:val="22"/>
              </w:rPr>
              <w:t>Пән мұғаліміне қатысты шешім</w:t>
            </w:r>
          </w:p>
        </w:tc>
      </w:tr>
      <w:tr>
        <w:tc>
          <w:tcPr>
            <w:tcW w:type="dxa" w:w="2088"/>
            <w:vAlign w:val="center"/>
          </w:tcPr>
          <w:p>
            <w:pPr>
              <w:spacing w:after="60" w:before="60" w:line="240" w:lineRule="auto"/>
            </w:pPr>
            <w:r>
              <w:rPr>
                <w:rFonts w:ascii="Times New Roman" w:hAnsi="Times New Roman"/>
                <w:b w:val="0"/>
                <w:sz w:val="22"/>
              </w:rPr>
              <w:t>З.А. Мовкебаева</w:t>
            </w:r>
          </w:p>
        </w:tc>
        <w:tc>
          <w:tcPr>
            <w:tcW w:type="dxa" w:w="3024"/>
            <w:vAlign w:val="center"/>
          </w:tcPr>
          <w:p>
            <w:pPr>
              <w:spacing w:after="60" w:before="60" w:line="240" w:lineRule="auto"/>
            </w:pPr>
            <w:r>
              <w:rPr>
                <w:rFonts w:ascii="Times New Roman" w:hAnsi="Times New Roman"/>
                <w:b w:val="0"/>
                <w:sz w:val="22"/>
              </w:rPr>
              <w:t>Кәсіби коммуникация және маман даярлығы</w:t>
            </w:r>
          </w:p>
        </w:tc>
        <w:tc>
          <w:tcPr>
            <w:tcW w:type="dxa" w:w="4291"/>
            <w:vAlign w:val="center"/>
          </w:tcPr>
          <w:p>
            <w:pPr>
              <w:spacing w:after="60" w:before="60" w:line="240" w:lineRule="auto"/>
            </w:pPr>
            <w:r>
              <w:rPr>
                <w:rFonts w:ascii="Times New Roman" w:hAnsi="Times New Roman"/>
                <w:b w:val="0"/>
                <w:sz w:val="22"/>
              </w:rPr>
              <w:t>Нұсқаулық пен кері байланыста құрметті, түсінікті тіл қолдану</w:t>
            </w:r>
          </w:p>
        </w:tc>
      </w:tr>
      <w:tr>
        <w:tc>
          <w:tcPr>
            <w:tcW w:type="dxa" w:w="2088"/>
            <w:vAlign w:val="center"/>
          </w:tcPr>
          <w:p>
            <w:pPr>
              <w:spacing w:after="60" w:before="60" w:line="240" w:lineRule="auto"/>
            </w:pPr>
            <w:r>
              <w:rPr>
                <w:rFonts w:ascii="Times New Roman" w:hAnsi="Times New Roman"/>
                <w:b w:val="0"/>
                <w:sz w:val="22"/>
              </w:rPr>
              <w:t>И.А. Оралканова</w:t>
            </w:r>
          </w:p>
        </w:tc>
        <w:tc>
          <w:tcPr>
            <w:tcW w:type="dxa" w:w="3024"/>
            <w:vAlign w:val="center"/>
          </w:tcPr>
          <w:p>
            <w:pPr>
              <w:spacing w:after="60" w:before="60" w:line="240" w:lineRule="auto"/>
            </w:pPr>
            <w:r>
              <w:rPr>
                <w:rFonts w:ascii="Times New Roman" w:hAnsi="Times New Roman"/>
                <w:b w:val="0"/>
                <w:sz w:val="22"/>
              </w:rPr>
              <w:t>Мұғалімнің инклюзивті оқытуға дайындығы</w:t>
            </w:r>
          </w:p>
        </w:tc>
        <w:tc>
          <w:tcPr>
            <w:tcW w:type="dxa" w:w="4291"/>
            <w:vAlign w:val="center"/>
          </w:tcPr>
          <w:p>
            <w:pPr>
              <w:spacing w:after="60" w:before="60" w:line="240" w:lineRule="auto"/>
            </w:pPr>
            <w:r>
              <w:rPr>
                <w:rFonts w:ascii="Times New Roman" w:hAnsi="Times New Roman"/>
                <w:b w:val="0"/>
                <w:sz w:val="22"/>
              </w:rPr>
              <w:t>Құндылық, білім және сабақтағы әрекет байланысын талдау</w:t>
            </w:r>
          </w:p>
        </w:tc>
      </w:tr>
      <w:tr>
        <w:tc>
          <w:tcPr>
            <w:tcW w:type="dxa" w:w="2088"/>
            <w:vAlign w:val="center"/>
          </w:tcPr>
          <w:p>
            <w:pPr>
              <w:spacing w:after="60" w:before="60" w:line="240" w:lineRule="auto"/>
            </w:pPr>
            <w:r>
              <w:rPr>
                <w:rFonts w:ascii="Times New Roman" w:hAnsi="Times New Roman"/>
                <w:b w:val="0"/>
                <w:sz w:val="22"/>
              </w:rPr>
              <w:t>Т. Бут және М. Эйнскоу</w:t>
            </w:r>
          </w:p>
        </w:tc>
        <w:tc>
          <w:tcPr>
            <w:tcW w:type="dxa" w:w="3024"/>
            <w:vAlign w:val="center"/>
          </w:tcPr>
          <w:p>
            <w:pPr>
              <w:spacing w:after="60" w:before="60" w:line="240" w:lineRule="auto"/>
            </w:pPr>
            <w:r>
              <w:rPr>
                <w:rFonts w:ascii="Times New Roman" w:hAnsi="Times New Roman"/>
                <w:b w:val="0"/>
                <w:sz w:val="22"/>
              </w:rPr>
              <w:t>Мектеп мәдениеті, саясаты, практикасы</w:t>
            </w:r>
          </w:p>
        </w:tc>
        <w:tc>
          <w:tcPr>
            <w:tcW w:type="dxa" w:w="4291"/>
            <w:vAlign w:val="center"/>
          </w:tcPr>
          <w:p>
            <w:pPr>
              <w:spacing w:after="60" w:before="60" w:line="240" w:lineRule="auto"/>
            </w:pPr>
            <w:r>
              <w:rPr>
                <w:rFonts w:ascii="Times New Roman" w:hAnsi="Times New Roman"/>
                <w:b w:val="0"/>
                <w:sz w:val="22"/>
              </w:rPr>
              <w:t>Кедергілерді мектеп қауымдастығымен бірге анықтау</w:t>
            </w:r>
          </w:p>
        </w:tc>
      </w:tr>
      <w:tr>
        <w:tc>
          <w:tcPr>
            <w:tcW w:type="dxa" w:w="2088"/>
            <w:vAlign w:val="center"/>
          </w:tcPr>
          <w:p>
            <w:pPr>
              <w:spacing w:after="60" w:before="60" w:line="240" w:lineRule="auto"/>
            </w:pPr>
            <w:r>
              <w:rPr>
                <w:rFonts w:ascii="Times New Roman" w:hAnsi="Times New Roman"/>
                <w:b w:val="0"/>
                <w:sz w:val="22"/>
              </w:rPr>
              <w:t>Л. Флориан</w:t>
            </w:r>
          </w:p>
        </w:tc>
        <w:tc>
          <w:tcPr>
            <w:tcW w:type="dxa" w:w="3024"/>
            <w:vAlign w:val="center"/>
          </w:tcPr>
          <w:p>
            <w:pPr>
              <w:spacing w:after="60" w:before="60" w:line="240" w:lineRule="auto"/>
            </w:pPr>
            <w:r>
              <w:rPr>
                <w:rFonts w:ascii="Times New Roman" w:hAnsi="Times New Roman"/>
                <w:b w:val="0"/>
                <w:sz w:val="22"/>
              </w:rPr>
              <w:t>Барлығына қолжетімді оқу мүмкіндіктері</w:t>
            </w:r>
          </w:p>
        </w:tc>
        <w:tc>
          <w:tcPr>
            <w:tcW w:type="dxa" w:w="4291"/>
            <w:vAlign w:val="center"/>
          </w:tcPr>
          <w:p>
            <w:pPr>
              <w:spacing w:after="60" w:before="60" w:line="240" w:lineRule="auto"/>
            </w:pPr>
            <w:r>
              <w:rPr>
                <w:rFonts w:ascii="Times New Roman" w:hAnsi="Times New Roman"/>
                <w:b w:val="0"/>
                <w:sz w:val="22"/>
              </w:rPr>
              <w:t>Ортақ тапсырмада бірнеше қатысу мен жауап тәсілін ұсыну</w:t>
            </w:r>
          </w:p>
        </w:tc>
      </w:tr>
    </w:tbl>
    <w:p>
      <w:pPr>
        <w:pStyle w:val="af"/>
        <w:spacing w:line="276" w:lineRule="auto" w:after="120"/>
        <w:ind w:firstLine="720"/>
        <w:jc w:val="both"/>
      </w:pPr>
      <w:r>
        <w:rPr>
          <w:lang w:val="kk-KZ"/>
        </w:rPr>
        <w:t>Қарастырылған бағыттар бір-бірін толықтырады: мұғалімнің даярлығы сабақтағы әрекетке, ал сабақтағы әрекет мектептің жалпы саясатына сүйенеді. Мен үшін ең пайдалы тұжырым — оқу қиындығын баланың өзгермейтін қасиеті ретінде қабылдамай, тапсырма мен ортаның жағдайын да тексеру. Алдымен кедергіні анықтау, кейін қолдауды таңдау, соңында оқушының қатысуы мен ілгерілеуін бағалау қажет. Ешбір әдіс барлық жағдайға бірдей нәтиже бермейді; шешім оқушы, ата-ана және мамандармен бірге қайта қаралады.</w:t>
      </w:r>
    </w:p>
    <w:p>
      <w:pPr>
        <w:pStyle w:val="1"/>
      </w:pPr>
      <w:r>
        <w:t>Пайдаланылған әдебиеттер</w:t>
      </w:r>
    </w:p>
    <w:p>
      <w:pPr>
        <w:spacing w:after="120"/>
        <w:jc w:val="left"/>
      </w:pPr>
      <w:r>
        <w:rPr>
          <w:sz w:val="22"/>
        </w:rPr>
        <w:t>1. Мовкебаева З.А., Сюй-фу-шун Н.В. Профессионально-речевая культура специального педагога как важный аспект инклюзивной культуры. Вестник КазНПУ им. Абая. Педагогические науки. 2022. Т.74, №2. С.13–25. DOI: 10.51889/2022-2.1728-5496.02. URL: https://bulletin-pedagogy.kaznpu.kz/index.php/ped/article/view/1206</w:t>
      </w:r>
    </w:p>
    <w:p>
      <w:pPr>
        <w:spacing w:after="120"/>
        <w:jc w:val="left"/>
      </w:pPr>
      <w:r>
        <w:rPr>
          <w:sz w:val="22"/>
        </w:rPr>
        <w:t>2. Мовкебаева З.А., Оралканова И.А. Анализ состояния готовности учителей начальных классов к работе в условиях инклюзивного образования. Успехи современного естествознания. URL: https://natural-sciences.ru/article/view?id=34679</w:t>
      </w:r>
    </w:p>
    <w:p>
      <w:pPr>
        <w:spacing w:after="120"/>
        <w:jc w:val="left"/>
      </w:pPr>
      <w:r>
        <w:rPr>
          <w:sz w:val="22"/>
        </w:rPr>
        <w:t>3. Booth T., Ainscow M. Index for Inclusion: developing learning and participation in schools. CSIE, 2002. URL: https://www.eenet.org.uk/resources/docs/Index%20English.pdf</w:t>
      </w:r>
    </w:p>
    <w:p>
      <w:pPr>
        <w:spacing w:after="120"/>
        <w:jc w:val="left"/>
      </w:pPr>
      <w:r>
        <w:rPr>
          <w:sz w:val="22"/>
        </w:rPr>
        <w:t>4. Booth T. Responding to 21st century imperatives: A new Index for Inclusion. Enabling Education Review. 2012. №1. URL: https://www.eenet.org.uk/enabling-education-review/enabling-education-review-1/eer-1/1-12/</w:t>
      </w:r>
    </w:p>
    <w:p>
      <w:pPr>
        <w:spacing w:after="120"/>
        <w:jc w:val="left"/>
      </w:pPr>
      <w:r>
        <w:rPr>
          <w:sz w:val="22"/>
        </w:rPr>
        <w:t>5. Florian L. Conceptualising inclusive pedagogy: The inclusive pedagogical approach in action. Inclusive Pedagogy Across the Curriculum. 2015. Vol.7. P.11–24. DOI: 10.1108/S1479-363620150000007001. URL: https://www.research.ed.ac.uk/en/publications/conceptualising-inclusive-pedagogy-the-inclusive-pedagogical-appr/</w:t>
      </w:r>
    </w:p>
    <w:p>
      <w:pPr>
        <w:spacing w:after="120"/>
        <w:jc w:val="left"/>
      </w:pPr>
      <w:r>
        <w:rPr>
          <w:sz w:val="22"/>
        </w:rPr>
        <w:t>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Инклюзивті білім беру ортасы 1-апта БӨЖ</dc:title>
  <dc:subject>Инклюзивті білім беру мәселелерін зерттеген отандық және шетелдік ғалымдар</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