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8B6A9" w14:textId="77777777" w:rsidR="004241FF" w:rsidRPr="004241FF" w:rsidRDefault="004241FF" w:rsidP="004241FF">
      <w:pPr>
        <w:pStyle w:val="af"/>
        <w:spacing w:before="8"/>
        <w:ind w:left="5" w:right="5"/>
        <w:jc w:val="center"/>
        <w:rPr>
          <w:b/>
          <w:bCs/>
          <w:sz w:val="28"/>
          <w:szCs w:val="24"/>
        </w:rPr>
      </w:pPr>
      <w:proofErr w:type="spellStart"/>
      <w:r w:rsidRPr="004241FF">
        <w:rPr>
          <w:b/>
          <w:bCs/>
          <w:sz w:val="28"/>
          <w:szCs w:val="24"/>
        </w:rPr>
        <w:t>Абай</w:t>
      </w:r>
      <w:proofErr w:type="spellEnd"/>
      <w:r w:rsidRPr="004241FF">
        <w:rPr>
          <w:b/>
          <w:bCs/>
          <w:spacing w:val="-8"/>
          <w:sz w:val="28"/>
          <w:szCs w:val="24"/>
        </w:rPr>
        <w:t xml:space="preserve"> </w:t>
      </w:r>
      <w:proofErr w:type="spellStart"/>
      <w:r w:rsidRPr="004241FF">
        <w:rPr>
          <w:b/>
          <w:bCs/>
          <w:sz w:val="28"/>
          <w:szCs w:val="24"/>
        </w:rPr>
        <w:t>атындағы</w:t>
      </w:r>
      <w:proofErr w:type="spellEnd"/>
      <w:r w:rsidRPr="004241FF">
        <w:rPr>
          <w:b/>
          <w:bCs/>
          <w:spacing w:val="-3"/>
          <w:sz w:val="28"/>
          <w:szCs w:val="24"/>
        </w:rPr>
        <w:t xml:space="preserve"> </w:t>
      </w:r>
      <w:proofErr w:type="spellStart"/>
      <w:r w:rsidRPr="004241FF">
        <w:rPr>
          <w:b/>
          <w:bCs/>
          <w:sz w:val="28"/>
          <w:szCs w:val="24"/>
        </w:rPr>
        <w:t>Қазақ</w:t>
      </w:r>
      <w:proofErr w:type="spellEnd"/>
      <w:r w:rsidRPr="004241FF">
        <w:rPr>
          <w:b/>
          <w:bCs/>
          <w:spacing w:val="-7"/>
          <w:sz w:val="28"/>
          <w:szCs w:val="24"/>
        </w:rPr>
        <w:t xml:space="preserve"> </w:t>
      </w:r>
      <w:proofErr w:type="spellStart"/>
      <w:r w:rsidRPr="004241FF">
        <w:rPr>
          <w:b/>
          <w:bCs/>
          <w:sz w:val="28"/>
          <w:szCs w:val="24"/>
        </w:rPr>
        <w:t>ұлттық</w:t>
      </w:r>
      <w:proofErr w:type="spellEnd"/>
      <w:r w:rsidRPr="004241FF">
        <w:rPr>
          <w:b/>
          <w:bCs/>
          <w:spacing w:val="-5"/>
          <w:sz w:val="28"/>
          <w:szCs w:val="24"/>
        </w:rPr>
        <w:t xml:space="preserve"> </w:t>
      </w:r>
      <w:proofErr w:type="spellStart"/>
      <w:r w:rsidRPr="004241FF">
        <w:rPr>
          <w:b/>
          <w:bCs/>
          <w:sz w:val="28"/>
          <w:szCs w:val="24"/>
        </w:rPr>
        <w:t>педагогикалық</w:t>
      </w:r>
      <w:proofErr w:type="spellEnd"/>
      <w:r w:rsidRPr="004241FF">
        <w:rPr>
          <w:b/>
          <w:bCs/>
          <w:spacing w:val="-5"/>
          <w:sz w:val="28"/>
          <w:szCs w:val="24"/>
        </w:rPr>
        <w:t xml:space="preserve"> </w:t>
      </w:r>
      <w:proofErr w:type="spellStart"/>
      <w:r w:rsidRPr="004241FF">
        <w:rPr>
          <w:b/>
          <w:bCs/>
          <w:spacing w:val="-2"/>
          <w:sz w:val="28"/>
          <w:szCs w:val="24"/>
        </w:rPr>
        <w:t>университеті</w:t>
      </w:r>
      <w:proofErr w:type="spellEnd"/>
    </w:p>
    <w:p w14:paraId="0A541DE8" w14:textId="77777777" w:rsidR="004241FF" w:rsidRPr="004241FF" w:rsidRDefault="004241FF" w:rsidP="004241FF">
      <w:pPr>
        <w:pStyle w:val="af"/>
        <w:spacing w:before="186"/>
        <w:ind w:left="5"/>
        <w:jc w:val="center"/>
        <w:rPr>
          <w:spacing w:val="-2"/>
          <w:sz w:val="28"/>
          <w:szCs w:val="24"/>
          <w:lang w:val="ru-RU"/>
        </w:rPr>
      </w:pPr>
      <w:proofErr w:type="spellStart"/>
      <w:r w:rsidRPr="004241FF">
        <w:rPr>
          <w:b/>
          <w:bCs/>
          <w:sz w:val="28"/>
          <w:szCs w:val="24"/>
          <w:lang w:val="ru-RU"/>
        </w:rPr>
        <w:t>Ақпараттық</w:t>
      </w:r>
      <w:proofErr w:type="spellEnd"/>
      <w:r w:rsidRPr="004241FF">
        <w:rPr>
          <w:b/>
          <w:bCs/>
          <w:sz w:val="28"/>
          <w:szCs w:val="24"/>
          <w:lang w:val="ru-RU"/>
        </w:rPr>
        <w:t xml:space="preserve"> </w:t>
      </w:r>
      <w:proofErr w:type="spellStart"/>
      <w:r w:rsidRPr="004241FF">
        <w:rPr>
          <w:b/>
          <w:bCs/>
          <w:sz w:val="28"/>
          <w:szCs w:val="24"/>
          <w:lang w:val="ru-RU"/>
        </w:rPr>
        <w:t>технологиялар</w:t>
      </w:r>
      <w:proofErr w:type="spellEnd"/>
      <w:r w:rsidRPr="004241FF">
        <w:rPr>
          <w:b/>
          <w:bCs/>
          <w:sz w:val="28"/>
          <w:szCs w:val="24"/>
          <w:lang w:val="ru-RU"/>
        </w:rPr>
        <w:t xml:space="preserve"> </w:t>
      </w:r>
      <w:proofErr w:type="spellStart"/>
      <w:r w:rsidRPr="004241FF">
        <w:rPr>
          <w:b/>
          <w:bCs/>
          <w:sz w:val="28"/>
          <w:szCs w:val="24"/>
          <w:lang w:val="ru-RU"/>
        </w:rPr>
        <w:t>және</w:t>
      </w:r>
      <w:proofErr w:type="spellEnd"/>
      <w:r w:rsidRPr="004241FF">
        <w:rPr>
          <w:b/>
          <w:bCs/>
          <w:sz w:val="28"/>
          <w:szCs w:val="24"/>
          <w:lang w:val="ru-RU"/>
        </w:rPr>
        <w:t xml:space="preserve"> </w:t>
      </w:r>
      <w:proofErr w:type="spellStart"/>
      <w:r w:rsidRPr="004241FF">
        <w:rPr>
          <w:b/>
          <w:bCs/>
          <w:sz w:val="28"/>
          <w:szCs w:val="24"/>
          <w:lang w:val="ru-RU"/>
        </w:rPr>
        <w:t>жасанды</w:t>
      </w:r>
      <w:proofErr w:type="spellEnd"/>
      <w:r w:rsidRPr="004241FF">
        <w:rPr>
          <w:b/>
          <w:bCs/>
          <w:sz w:val="28"/>
          <w:szCs w:val="24"/>
          <w:lang w:val="ru-RU"/>
        </w:rPr>
        <w:t xml:space="preserve"> </w:t>
      </w:r>
      <w:proofErr w:type="spellStart"/>
      <w:r w:rsidRPr="004241FF">
        <w:rPr>
          <w:b/>
          <w:bCs/>
          <w:sz w:val="28"/>
          <w:szCs w:val="24"/>
          <w:lang w:val="ru-RU"/>
        </w:rPr>
        <w:t>интелект</w:t>
      </w:r>
      <w:proofErr w:type="spellEnd"/>
      <w:r w:rsidRPr="004241FF">
        <w:rPr>
          <w:b/>
          <w:bCs/>
          <w:sz w:val="28"/>
          <w:szCs w:val="24"/>
          <w:lang w:val="ru-RU"/>
        </w:rPr>
        <w:t xml:space="preserve"> </w:t>
      </w:r>
      <w:proofErr w:type="spellStart"/>
      <w:r w:rsidRPr="004241FF">
        <w:rPr>
          <w:b/>
          <w:bCs/>
          <w:sz w:val="28"/>
          <w:szCs w:val="24"/>
          <w:lang w:val="ru-RU"/>
        </w:rPr>
        <w:t>факультеті</w:t>
      </w:r>
      <w:proofErr w:type="spellEnd"/>
    </w:p>
    <w:p w14:paraId="580BFCB6" w14:textId="77777777" w:rsidR="004241FF" w:rsidRPr="004241FF" w:rsidRDefault="004241FF" w:rsidP="004241FF">
      <w:pPr>
        <w:pStyle w:val="af"/>
        <w:spacing w:before="186"/>
        <w:ind w:left="5"/>
        <w:jc w:val="center"/>
        <w:rPr>
          <w:spacing w:val="-2"/>
          <w:sz w:val="28"/>
          <w:szCs w:val="24"/>
          <w:lang w:val="ru-RU"/>
        </w:rPr>
      </w:pPr>
    </w:p>
    <w:p w14:paraId="5EEAAB21" w14:textId="77777777" w:rsidR="004241FF" w:rsidRPr="004241FF" w:rsidRDefault="004241FF" w:rsidP="004241FF">
      <w:pPr>
        <w:pStyle w:val="af"/>
        <w:spacing w:before="186"/>
        <w:ind w:left="5"/>
        <w:jc w:val="center"/>
        <w:rPr>
          <w:lang w:val="ru-RU"/>
        </w:rPr>
      </w:pPr>
    </w:p>
    <w:p w14:paraId="6BB40919" w14:textId="77777777" w:rsidR="004241FF" w:rsidRPr="004241FF" w:rsidRDefault="004241FF" w:rsidP="004241FF">
      <w:pPr>
        <w:pStyle w:val="af"/>
        <w:spacing w:before="173"/>
        <w:rPr>
          <w:b/>
          <w:sz w:val="20"/>
          <w:lang w:val="ru-RU"/>
        </w:rPr>
      </w:pPr>
    </w:p>
    <w:p w14:paraId="74CDE470" w14:textId="77777777" w:rsidR="004241FF" w:rsidRDefault="004241FF" w:rsidP="004241FF">
      <w:pPr>
        <w:pStyle w:val="af"/>
        <w:ind w:left="1078"/>
        <w:rPr>
          <w:b/>
          <w:sz w:val="20"/>
        </w:rPr>
      </w:pPr>
      <w:r>
        <w:rPr>
          <w:b/>
          <w:noProof/>
          <w:sz w:val="20"/>
        </w:rPr>
        <w:drawing>
          <wp:inline distT="0" distB="0" distL="0" distR="0" wp14:anchorId="68793C2E" wp14:editId="0E06ABD2">
            <wp:extent cx="4533900" cy="1847850"/>
            <wp:effectExtent l="0" t="0" r="0" b="0"/>
            <wp:docPr id="2" name="Image 2" descr="Казахский Национальный педагогический университет имени Абая"/>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Казахский Национальный педагогический университет имени Абая"/>
                    <pic:cNvPicPr/>
                  </pic:nvPicPr>
                  <pic:blipFill>
                    <a:blip r:embed="rId8" cstate="print"/>
                    <a:stretch>
                      <a:fillRect/>
                    </a:stretch>
                  </pic:blipFill>
                  <pic:spPr>
                    <a:xfrm>
                      <a:off x="0" y="0"/>
                      <a:ext cx="4533900" cy="1847850"/>
                    </a:xfrm>
                    <a:prstGeom prst="rect">
                      <a:avLst/>
                    </a:prstGeom>
                  </pic:spPr>
                </pic:pic>
              </a:graphicData>
            </a:graphic>
          </wp:inline>
        </w:drawing>
      </w:r>
    </w:p>
    <w:p w14:paraId="19C18D4F" w14:textId="77777777" w:rsidR="004241FF" w:rsidRPr="004241FF" w:rsidRDefault="004241FF" w:rsidP="004241FF">
      <w:pPr>
        <w:pStyle w:val="aa"/>
        <w:jc w:val="center"/>
        <w:rPr>
          <w:rFonts w:ascii="Times New Roman" w:hAnsi="Times New Roman" w:cs="Times New Roman"/>
          <w:b/>
          <w:bCs/>
          <w:sz w:val="144"/>
          <w:szCs w:val="144"/>
        </w:rPr>
      </w:pPr>
      <w:r>
        <w:rPr>
          <w:rFonts w:ascii="Times New Roman" w:hAnsi="Times New Roman" w:cs="Times New Roman"/>
          <w:b/>
          <w:bCs/>
          <w:spacing w:val="-2"/>
          <w:sz w:val="144"/>
          <w:szCs w:val="144"/>
        </w:rPr>
        <w:t>БӨЖ2</w:t>
      </w:r>
    </w:p>
    <w:p w14:paraId="3156C37A" w14:textId="77777777" w:rsidR="004241FF" w:rsidRPr="004241FF" w:rsidRDefault="004241FF" w:rsidP="004241FF">
      <w:pPr>
        <w:pStyle w:val="af"/>
        <w:spacing w:before="295"/>
        <w:ind w:right="144"/>
        <w:jc w:val="center"/>
        <w:rPr>
          <w:b/>
          <w:bCs/>
          <w:sz w:val="28"/>
          <w:szCs w:val="24"/>
        </w:rPr>
      </w:pPr>
      <w:r>
        <w:rPr>
          <w:b/>
          <w:bCs/>
          <w:sz w:val="28"/>
          <w:szCs w:val="24"/>
        </w:rPr>
        <w:t>Пәні: Инклюзивті білім беру ортасы</w:t>
      </w:r>
    </w:p>
    <w:p w14:paraId="6895E680" w14:textId="77777777" w:rsidR="004241FF" w:rsidRPr="004241FF" w:rsidRDefault="004241FF" w:rsidP="004241FF">
      <w:pPr>
        <w:pStyle w:val="af"/>
        <w:spacing w:before="187" w:line="259" w:lineRule="auto"/>
        <w:ind w:right="142"/>
        <w:jc w:val="center"/>
        <w:rPr>
          <w:b/>
          <w:sz w:val="28"/>
          <w:szCs w:val="24"/>
        </w:rPr>
      </w:pPr>
      <w:r>
        <w:rPr>
          <w:b/>
          <w:bCs/>
          <w:sz w:val="28"/>
          <w:szCs w:val="24"/>
        </w:rPr>
        <w:t>Тақырыбы: Шет елдердегі озат инклюзивті тәжірибе Италия</w:t>
      </w:r>
    </w:p>
    <w:p w14:paraId="59B8ABC4" w14:textId="77777777" w:rsidR="004241FF" w:rsidRDefault="004241FF" w:rsidP="004241FF">
      <w:pPr>
        <w:pStyle w:val="af"/>
        <w:rPr>
          <w:b/>
        </w:rPr>
      </w:pPr>
    </w:p>
    <w:p w14:paraId="5964F2C9" w14:textId="77777777" w:rsidR="004241FF" w:rsidRDefault="004241FF" w:rsidP="004241FF">
      <w:pPr>
        <w:pStyle w:val="af"/>
        <w:spacing w:before="146"/>
        <w:rPr>
          <w:b/>
          <w:lang w:val="kk-KZ"/>
        </w:rPr>
      </w:pPr>
    </w:p>
    <w:p w14:paraId="2E123A1C" w14:textId="77777777" w:rsidR="004241FF" w:rsidRPr="004241FF" w:rsidRDefault="004241FF" w:rsidP="004241FF">
      <w:pPr>
        <w:pStyle w:val="af"/>
        <w:spacing w:before="146"/>
        <w:rPr>
          <w:b/>
          <w:lang w:val="kk-KZ"/>
        </w:rPr>
      </w:pPr>
    </w:p>
    <w:p w14:paraId="10C2F572" w14:textId="77777777" w:rsidR="004241FF" w:rsidRPr="00AA0E09" w:rsidRDefault="004241FF" w:rsidP="004241FF">
      <w:pPr>
        <w:spacing w:line="379" w:lineRule="auto"/>
        <w:ind w:left="5806" w:firstLine="39"/>
        <w:rPr>
          <w:b/>
          <w:i/>
          <w:sz w:val="28"/>
          <w:lang w:val="kk-KZ"/>
        </w:rPr>
      </w:pPr>
      <w:r>
        <w:rPr>
          <w:b/>
          <w:i/>
          <w:sz w:val="28"/>
          <w:lang w:val="kk-KZ"/>
          <w:spacing w:val="-8"/>
        </w:rPr>
        <w:t>Орындаған: Биарстанов Д.А.</w:t>
        <w:br/>
        <w:t>Тексерген: Жаканбаева Б.Б.</w:t>
      </w:r>
    </w:p>
    <w:p w14:paraId="32AA8873" w14:textId="77777777" w:rsidR="004241FF" w:rsidRPr="0031756A" w:rsidRDefault="004241FF" w:rsidP="004241FF">
      <w:pPr>
        <w:pStyle w:val="af"/>
        <w:spacing w:before="181"/>
        <w:rPr>
          <w:i/>
          <w:lang w:val="kk-KZ"/>
        </w:rPr>
      </w:pPr>
    </w:p>
    <w:p w14:paraId="42AFAC7E" w14:textId="77777777" w:rsidR="004241FF" w:rsidRDefault="004241FF" w:rsidP="004241FF">
      <w:pPr>
        <w:ind w:left="5" w:right="142"/>
        <w:jc w:val="center"/>
        <w:rPr>
          <w:b/>
          <w:i/>
          <w:spacing w:val="-2"/>
          <w:sz w:val="28"/>
        </w:rPr>
      </w:pPr>
      <w:proofErr w:type="spellStart"/>
      <w:r>
        <w:rPr>
          <w:b/>
          <w:i/>
          <w:sz w:val="28"/>
        </w:rPr>
        <w:t>Алматы</w:t>
      </w:r>
      <w:proofErr w:type="spellEnd"/>
      <w:r>
        <w:rPr>
          <w:b/>
          <w:i/>
          <w:spacing w:val="2"/>
          <w:sz w:val="28"/>
        </w:rPr>
        <w:t xml:space="preserve"> </w:t>
      </w:r>
      <w:r>
        <w:rPr>
          <w:b/>
          <w:i/>
          <w:spacing w:val="-2"/>
          <w:sz w:val="28"/>
        </w:rPr>
        <w:t>2026ж</w:t>
      </w:r>
    </w:p>
    <w:sdt>
      <w:sdtPr>
        <w:rPr>
          <w:rFonts w:eastAsiaTheme="minorEastAsia" w:cstheme="minorBidi"/>
          <w:b w:val="0"/>
          <w:bCs w:val="0"/>
          <w:color w:val="222222"/>
          <w:sz w:val="24"/>
          <w:szCs w:val="22"/>
          <w:lang w:val="ru-RU"/>
        </w:rPr>
        <w:id w:val="1577784382"/>
        <w:docPartObj>
          <w:docPartGallery w:val="Table of Contents"/>
          <w:docPartUnique/>
        </w:docPartObj>
      </w:sdtPr>
      <w:sdtEndPr>
        <w:rPr>
          <w:lang w:val="en-US"/>
        </w:rPr>
      </w:sdtEndPr>
      <w:sdtContent>
        <w:p w14:paraId="4FA11B11" w14:textId="397A0326" w:rsidR="004241FF" w:rsidRPr="00C217BF" w:rsidRDefault="00C217BF">
          <w:pPr>
            <w:pStyle w:val="aff"/>
            <w:rPr>
              <w:lang w:val="kk-KZ"/>
            </w:rPr>
            <w:pageBreakBefore w:val="1"/>
          </w:pPr>
          <w:r>
            <w:rPr>
              <w:lang w:val="kk-KZ"/>
            </w:rPr>
            <w:t>МАЗМҰНЫ</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Баяндаманың мақсаты</w:t>
            <w:tab/>
            <w:t>3</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Инклюзияның құқықтық бағыты</w:t>
            <w:tab/>
            <w:t>3</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Жеке білім беру жоспары және бірлескен шешім</w:t>
            <w:tab/>
            <w:t>3</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Мұғалімдер мен ата-аналардың қатысуы</w:t>
            <w:tab/>
            <w:t>3</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Қажеттіліктердің әртүрлілігі</w:t>
            <w:tab/>
            <w:t>4</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Қазақстан мектебіне қолдану мүмкіндіктері</w:t>
            <w:tab/>
            <w:t>4</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Қорытынды</w:t>
            <w:tab/>
            <w:t>5</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Пайдаланылған әдебиеттер</w:t>
            <w:tab/>
            <w:t>5</w:t>
          </w:r>
        </w:p>
      </w:sdtContent>
    </w:sdt>
    <w:p>
      <w:pPr>
        <w:pStyle w:val="1"/>
        <w:pageBreakBefore/>
      </w:pPr>
      <w:r>
        <w:t>Баяндаманың мақсаты</w:t>
      </w:r>
    </w:p>
    <w:p>
      <w:pPr>
        <w:pStyle w:val="af"/>
        <w:spacing w:line="276" w:lineRule="auto" w:after="120"/>
        <w:ind w:firstLine="720"/>
        <w:jc w:val="both"/>
      </w:pPr>
      <w:r>
        <w:rPr>
          <w:lang w:val="kk-KZ"/>
        </w:rPr>
        <w:t>Италия тәжірибесі инклюзивті білім беруді жалпы мектептің міндеті ретінде ұйымдастыруымен қызықтырады. Баяндаманың мақсаты — оның құқықтық бағытын, жеке білім беру жоспарын және мұғалімдер мен отбасының ынтымақтастығын қарастырып, Қазақстан мектебі үшін пайдалы шешімдерді талдау. Елді таңдау еркіндігіне сәйкес Италия алынды. «Озат тәжірибе» атауы барлық мәселе толық шешілгенін білдірмейді; жұмыста нақты тетіктер және оларды қолдану шарттары талданады.</w:t>
      </w:r>
    </w:p>
    <w:p>
      <w:pPr>
        <w:pStyle w:val="1"/>
      </w:pPr>
      <w:r>
        <w:t>Инклюзияның құқықтық бағыты</w:t>
      </w:r>
    </w:p>
    <w:p>
      <w:pPr>
        <w:pStyle w:val="af"/>
        <w:spacing w:line="276" w:lineRule="auto" w:after="120"/>
        <w:ind w:firstLine="720"/>
        <w:jc w:val="both"/>
      </w:pPr>
      <w:r>
        <w:rPr>
          <w:lang w:val="kk-KZ"/>
        </w:rPr>
        <w:t>Еуропалық агенттіктің елдік профилі Италиядағы жалпы сыныпта оқыту бағытын 1971 жылғы №118 және 1977 жылғы №517 заңдармен байланыстырады. 1992 жылғы №104 заң мүгедектігі бар адамдардың құқықтары мен қолдауын жүйелеуге арналған негізгі құжаттардың бірі. 2017 жылғы №66 акт жеке білім беру жоспары мен мектептегі кедергілерді анықтауға назар аударады. [1] Осы тарихи бағыттан көрінетін негізгі идея — оқушының білім алуы жалпы мектеп пен қолдау қызметтерінің бірлескен жауапкершілігі.</w:t>
      </w:r>
    </w:p>
    <w:p>
      <w:pPr>
        <w:pStyle w:val="af"/>
        <w:spacing w:line="276" w:lineRule="auto" w:after="120"/>
        <w:ind w:firstLine="720"/>
        <w:jc w:val="both"/>
      </w:pPr>
      <w:r>
        <w:rPr>
          <w:lang w:val="kk-KZ"/>
        </w:rPr>
        <w:t>Құқықты бекіту мен оны сабақта жүзеге асырудың арасы ұйымдастыру шешімдерімен толтырылады. Қолжетімді кіреберіс, материалдар және тиісті маманның көмегі бір оқушының сыныпқа қатысуын жеңілдетуі мүмкін. Бірақ мұғалім тапсырманы түсіндіру тәсілін өзгертпесе, бала сабақ мазмұнына қол жеткізбеуі ықтимал. Сондықтан Италияның құқықтық бағытын мен ғимаратқа кіруден бастап ортақ оқу әрекетіне қатысуға дейінгі сабақтас міндет ретінде түсінемін.</w:t>
      </w:r>
    </w:p>
    <w:p>
      <w:pPr>
        <w:pStyle w:val="1"/>
      </w:pPr>
      <w:r>
        <w:t>Жеке білім беру жоспары және бірлескен шешім</w:t>
      </w:r>
    </w:p>
    <w:p>
      <w:pPr>
        <w:pStyle w:val="af"/>
        <w:spacing w:line="276" w:lineRule="auto" w:after="120"/>
        <w:ind w:firstLine="720"/>
        <w:jc w:val="both"/>
      </w:pPr>
      <w:r>
        <w:rPr>
          <w:lang w:val="kk-KZ"/>
        </w:rPr>
        <w:t>PEI — Piano educativo individualizzato, яғни жеке білім беру жоспары. Италия парламентінің ресми түсіндірмесінде оның құрылымына оқушы туралы ақпарат, қолдау мақсаттары, ортадағы кедергілер мен қолайлы факторлар, оқу әрекеті, ресурстар және қорытынды бағалау кіретіні көрсетілген. 2023 жылғы №153 акт жоспар үлгілері мен GLO жұмысын жаңартқан. GLO — инклюзияға қатысты жедел жұмыс тобы. [2]</w:t>
      </w:r>
    </w:p>
    <w:p>
      <w:pPr>
        <w:pStyle w:val="af"/>
        <w:spacing w:line="276" w:lineRule="auto" w:after="120"/>
        <w:ind w:firstLine="720"/>
        <w:jc w:val="both"/>
      </w:pPr>
      <w:r>
        <w:rPr>
          <w:lang w:val="kk-KZ"/>
        </w:rPr>
        <w:t>Бұл жоспарды тек есеп беру парағы ретінде қарастыру оның педагогикалық мәнін әлсіретеді. Пайдалы жоспар нақты оқу мақсатын, қолдау тәсілін және нәтижені қайта қарау уақытын байланыстырады. Мысалы, физика сабағында негізгі мақсат қозғалыс графигін түсіндіру болса, оқушы графикті экранды үлкейту арқылы оқып, жауабын ауызша беруі мүмкін. Мұнда қабылдау мен жауап тәсілі бейімделеді; мақсатты өзгерту қажеттілігі бөлек шешіледі. Мысал — Италия мектебінде жүргізілген бақылау емес, баяндаманың педагогикалық қолданбалы талдауы.</w:t>
      </w:r>
    </w:p>
    <w:p>
      <w:pPr>
        <w:pStyle w:val="1"/>
      </w:pPr>
      <w:r>
        <w:t>Мұғалімдер мен ата-аналардың қатысуы</w:t>
      </w:r>
    </w:p>
    <w:p>
      <w:pPr>
        <w:pStyle w:val="af"/>
        <w:spacing w:line="276" w:lineRule="auto" w:after="120"/>
        <w:ind w:firstLine="720"/>
        <w:jc w:val="both"/>
      </w:pPr>
      <w:r>
        <w:rPr>
          <w:lang w:val="kk-KZ"/>
        </w:rPr>
        <w:t>Елдік профиль қолдау мұғалімінің жалпы мұғалімдер тобына кіріп, жоспарлау мен бағалауға қатысатынын сипаттайды. Ата-аналар мектеппен бірге баланың қажеттілігіне сәйкес жоспарды құруға және іске асыруға қатысады. [1] Бұл тетік оқушыны бір ғана маманның жауапкершілігіне қалдырмауымен құнды. Пән мұғалімі оқу мазмұнына жауап береді, ал қолдау маманы қолжетімді әрекетті ұйымдастыруға көмектеседі.</w:t>
      </w:r>
    </w:p>
    <w:p>
      <w:pPr>
        <w:pStyle w:val="af"/>
        <w:spacing w:line="276" w:lineRule="auto" w:after="120"/>
        <w:ind w:firstLine="720"/>
        <w:jc w:val="both"/>
      </w:pPr>
      <w:r>
        <w:rPr>
          <w:lang w:val="kk-KZ"/>
        </w:rPr>
        <w:t>Менің талдауым бойынша, тиімді ынтымақтастық үшін міндеттерді алдын ала бөлу қажет. Пән мұғалімі оқу мақсаты мен бағалау дәлелін анықтайды; маман қажетті бейімдеу мен құралды таңдауға қатысады; ата-ана баланың күнделікті тәжірибесі туралы ақпарат береді; оқушы өзіне қолайлы тәсілді білдіреді. Бірлескен талқылауда баланың дербестігі сақталуы керек. Оның орнына тапсырманы орындап беру қатысуға көмектескендей көрінгенімен, білімін бағалауды қиындатады.</w:t>
      </w:r>
    </w:p>
    <w:p>
      <w:pPr>
        <w:pStyle w:val="1"/>
      </w:pPr>
      <w:r>
        <w:t>Қажеттіліктердің әртүрлілігі</w:t>
      </w:r>
    </w:p>
    <w:p>
      <w:pPr>
        <w:pStyle w:val="af"/>
        <w:spacing w:line="276" w:lineRule="auto" w:after="120"/>
        <w:ind w:firstLine="720"/>
        <w:jc w:val="both"/>
      </w:pPr>
      <w:r>
        <w:rPr>
          <w:lang w:val="kk-KZ"/>
        </w:rPr>
        <w:t>Италияның Білім және еңбек сіңіру министрлігі ерекше білім беру қажеттілігі тұрақты да, белгілі бір кезеңге тән де болуы мүмкін екенін түсіндіреді. Дене ерекшелігімен бірге психологиялық және әлеуметтік себептер де мектептің жеке жауап беруін қажет етеді. [3] Бұл көзқарас оқудағы қиындықты бір ғана медициналық санат арқылы түсіндірмеуге мүмкіндік береді.</w:t>
      </w:r>
    </w:p>
    <w:p>
      <w:pPr>
        <w:pStyle w:val="af"/>
        <w:spacing w:line="276" w:lineRule="auto" w:after="120"/>
        <w:ind w:firstLine="720"/>
        <w:jc w:val="both"/>
      </w:pPr>
      <w:r>
        <w:rPr>
          <w:lang w:val="kk-KZ"/>
        </w:rPr>
        <w:t>Мысалы, тілдік ортаға жаңадан келген оқушы тапсырманың сөздерін түсінбей қалуы мүмкін, бірақ есептеу дағдысы жеткілікті болуы ықтимал. Мұғалім қысқа нұсқаулық, суретті сөздік және үлгі ұсына алады. Ал сезімдік жүктемесі жоғары оқушы үшін жұмыс орнын тыныш аймаққа жақын орналастыру пайдалы болуы мүмкін. Осы шешімдерді бірдей «жеңілдетілген бағдарлама» деп атау дұрыс емес: олардың мақсаты көбіне ортақ оқу мазмұнына қолжетімділікті жақсарту.</w:t>
      </w:r>
    </w:p>
    <w:p>
      <w:pPr>
        <w:pStyle w:val="1"/>
      </w:pPr>
      <w:r>
        <w:t>Қазақстан мектебіне қолдану мүмкіндіктері</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left w:w="90" w:type="dxa"/>
          <w:bottom w:w="90" w:type="dxa"/>
          <w:right w:w="90" w:type="dxa"/>
        </w:tblCellMar>
      </w:tblPr>
      <w:tblGrid>
        <w:gridCol w:w="1800"/>
        <w:gridCol w:w="3600"/>
        <w:gridCol w:w="4003"/>
      </w:tblGrid>
      <w:tr>
        <w:trPr>
          <w:tblHeader/>
        </w:trPr>
        <w:tc>
          <w:tcPr>
            <w:tcW w:type="dxa" w:w="1800"/>
            <w:vAlign w:val="center"/>
            <w:shd w:fill="EEEEEE"/>
          </w:tcPr>
          <w:p>
            <w:pPr>
              <w:spacing w:after="60" w:before="60" w:line="240" w:lineRule="auto"/>
            </w:pPr>
            <w:r>
              <w:rPr>
                <w:rFonts w:ascii="Times New Roman" w:hAnsi="Times New Roman"/>
                <w:b/>
                <w:sz w:val="22"/>
              </w:rPr>
              <w:t>Тетік</w:t>
            </w:r>
          </w:p>
        </w:tc>
        <w:tc>
          <w:tcPr>
            <w:tcW w:type="dxa" w:w="3600"/>
            <w:vAlign w:val="center"/>
            <w:shd w:fill="EEEEEE"/>
          </w:tcPr>
          <w:p>
            <w:pPr>
              <w:spacing w:after="60" w:before="60" w:line="240" w:lineRule="auto"/>
            </w:pPr>
            <w:r>
              <w:rPr>
                <w:rFonts w:ascii="Times New Roman" w:hAnsi="Times New Roman"/>
                <w:b/>
                <w:sz w:val="22"/>
              </w:rPr>
              <w:t>Ұсынылатын әрекет</w:t>
            </w:r>
          </w:p>
        </w:tc>
        <w:tc>
          <w:tcPr>
            <w:tcW w:type="dxa" w:w="4003"/>
            <w:vAlign w:val="center"/>
            <w:shd w:fill="EEEEEE"/>
          </w:tcPr>
          <w:p>
            <w:pPr>
              <w:spacing w:after="60" w:before="60" w:line="240" w:lineRule="auto"/>
            </w:pPr>
            <w:r>
              <w:rPr>
                <w:rFonts w:ascii="Times New Roman" w:hAnsi="Times New Roman"/>
                <w:b/>
                <w:sz w:val="22"/>
              </w:rPr>
              <w:t>Қолдану шарты</w:t>
            </w:r>
          </w:p>
        </w:tc>
      </w:tr>
      <w:tr>
        <w:tc>
          <w:tcPr>
            <w:tcW w:type="dxa" w:w="1800"/>
            <w:vAlign w:val="center"/>
          </w:tcPr>
          <w:p>
            <w:pPr>
              <w:spacing w:after="60" w:before="60" w:line="240" w:lineRule="auto"/>
            </w:pPr>
            <w:r>
              <w:rPr>
                <w:rFonts w:ascii="Times New Roman" w:hAnsi="Times New Roman"/>
                <w:b w:val="0"/>
                <w:sz w:val="22"/>
              </w:rPr>
              <w:t>Жеке жоспар</w:t>
            </w:r>
          </w:p>
        </w:tc>
        <w:tc>
          <w:tcPr>
            <w:tcW w:type="dxa" w:w="3600"/>
            <w:vAlign w:val="center"/>
          </w:tcPr>
          <w:p>
            <w:pPr>
              <w:spacing w:after="60" w:before="60" w:line="240" w:lineRule="auto"/>
            </w:pPr>
            <w:r>
              <w:rPr>
                <w:rFonts w:ascii="Times New Roman" w:hAnsi="Times New Roman"/>
                <w:b w:val="0"/>
                <w:sz w:val="22"/>
              </w:rPr>
              <w:t>Мақсат, қолдау және қайта қарау күнін байланыстыру</w:t>
            </w:r>
          </w:p>
        </w:tc>
        <w:tc>
          <w:tcPr>
            <w:tcW w:type="dxa" w:w="4003"/>
            <w:vAlign w:val="center"/>
          </w:tcPr>
          <w:p>
            <w:pPr>
              <w:spacing w:after="60" w:before="60" w:line="240" w:lineRule="auto"/>
            </w:pPr>
            <w:r>
              <w:rPr>
                <w:rFonts w:ascii="Times New Roman" w:hAnsi="Times New Roman"/>
                <w:b w:val="0"/>
                <w:sz w:val="22"/>
              </w:rPr>
              <w:t>ЕБҚ бағалау нәтижесі және ата-анамен келісілген жұмыс</w:t>
            </w:r>
          </w:p>
        </w:tc>
      </w:tr>
      <w:tr>
        <w:tc>
          <w:tcPr>
            <w:tcW w:type="dxa" w:w="1800"/>
            <w:vAlign w:val="center"/>
          </w:tcPr>
          <w:p>
            <w:pPr>
              <w:spacing w:after="60" w:before="60" w:line="240" w:lineRule="auto"/>
            </w:pPr>
            <w:r>
              <w:rPr>
                <w:rFonts w:ascii="Times New Roman" w:hAnsi="Times New Roman"/>
                <w:b w:val="0"/>
                <w:sz w:val="22"/>
              </w:rPr>
              <w:t>Командалық жауапкершілік</w:t>
            </w:r>
          </w:p>
        </w:tc>
        <w:tc>
          <w:tcPr>
            <w:tcW w:type="dxa" w:w="3600"/>
            <w:vAlign w:val="center"/>
          </w:tcPr>
          <w:p>
            <w:pPr>
              <w:spacing w:after="60" w:before="60" w:line="240" w:lineRule="auto"/>
            </w:pPr>
            <w:r>
              <w:rPr>
                <w:rFonts w:ascii="Times New Roman" w:hAnsi="Times New Roman"/>
                <w:b w:val="0"/>
                <w:sz w:val="22"/>
              </w:rPr>
              <w:t>Пән мұғалімі мен ППҚҚ міндеттерін нақтылау</w:t>
            </w:r>
          </w:p>
        </w:tc>
        <w:tc>
          <w:tcPr>
            <w:tcW w:type="dxa" w:w="4003"/>
            <w:vAlign w:val="center"/>
          </w:tcPr>
          <w:p>
            <w:pPr>
              <w:spacing w:after="60" w:before="60" w:line="240" w:lineRule="auto"/>
            </w:pPr>
            <w:r>
              <w:rPr>
                <w:rFonts w:ascii="Times New Roman" w:hAnsi="Times New Roman"/>
                <w:b w:val="0"/>
                <w:sz w:val="22"/>
              </w:rPr>
              <w:t>Тұрақты қысқа кездесулер және қолжетімді жазба</w:t>
            </w:r>
          </w:p>
        </w:tc>
      </w:tr>
      <w:tr>
        <w:tc>
          <w:tcPr>
            <w:tcW w:type="dxa" w:w="1800"/>
            <w:vAlign w:val="center"/>
          </w:tcPr>
          <w:p>
            <w:pPr>
              <w:spacing w:after="60" w:before="60" w:line="240" w:lineRule="auto"/>
            </w:pPr>
            <w:r>
              <w:rPr>
                <w:rFonts w:ascii="Times New Roman" w:hAnsi="Times New Roman"/>
                <w:b w:val="0"/>
                <w:sz w:val="22"/>
              </w:rPr>
              <w:t>Ортаны талдау</w:t>
            </w:r>
          </w:p>
        </w:tc>
        <w:tc>
          <w:tcPr>
            <w:tcW w:type="dxa" w:w="3600"/>
            <w:vAlign w:val="center"/>
          </w:tcPr>
          <w:p>
            <w:pPr>
              <w:spacing w:after="60" w:before="60" w:line="240" w:lineRule="auto"/>
            </w:pPr>
            <w:r>
              <w:rPr>
                <w:rFonts w:ascii="Times New Roman" w:hAnsi="Times New Roman"/>
                <w:b w:val="0"/>
                <w:sz w:val="22"/>
              </w:rPr>
              <w:t>Кіреберіс, материал, байланыс пен тапсырма кедергілерін тексеру</w:t>
            </w:r>
          </w:p>
        </w:tc>
        <w:tc>
          <w:tcPr>
            <w:tcW w:type="dxa" w:w="4003"/>
            <w:vAlign w:val="center"/>
          </w:tcPr>
          <w:p>
            <w:pPr>
              <w:spacing w:after="60" w:before="60" w:line="240" w:lineRule="auto"/>
            </w:pPr>
            <w:r>
              <w:rPr>
                <w:rFonts w:ascii="Times New Roman" w:hAnsi="Times New Roman"/>
                <w:b w:val="0"/>
                <w:sz w:val="22"/>
              </w:rPr>
              <w:t>Оқушы пікірін тыңдау және маманның бағалауы</w:t>
            </w:r>
          </w:p>
        </w:tc>
      </w:tr>
      <w:tr>
        <w:tc>
          <w:tcPr>
            <w:tcW w:type="dxa" w:w="1800"/>
            <w:vAlign w:val="center"/>
          </w:tcPr>
          <w:p>
            <w:pPr>
              <w:spacing w:after="60" w:before="60" w:line="240" w:lineRule="auto"/>
            </w:pPr>
            <w:r>
              <w:rPr>
                <w:rFonts w:ascii="Times New Roman" w:hAnsi="Times New Roman"/>
                <w:b w:val="0"/>
                <w:sz w:val="22"/>
              </w:rPr>
              <w:t>Қатысуды бағалау</w:t>
            </w:r>
          </w:p>
        </w:tc>
        <w:tc>
          <w:tcPr>
            <w:tcW w:type="dxa" w:w="3600"/>
            <w:vAlign w:val="center"/>
          </w:tcPr>
          <w:p>
            <w:pPr>
              <w:spacing w:after="60" w:before="60" w:line="240" w:lineRule="auto"/>
            </w:pPr>
            <w:r>
              <w:rPr>
                <w:rFonts w:ascii="Times New Roman" w:hAnsi="Times New Roman"/>
                <w:b w:val="0"/>
                <w:sz w:val="22"/>
              </w:rPr>
              <w:t>Тапсырмаға дербес кірісу мен жауап беру мүмкіндігін бақылау</w:t>
            </w:r>
          </w:p>
        </w:tc>
        <w:tc>
          <w:tcPr>
            <w:tcW w:type="dxa" w:w="4003"/>
            <w:vAlign w:val="center"/>
          </w:tcPr>
          <w:p>
            <w:pPr>
              <w:spacing w:after="60" w:before="60" w:line="240" w:lineRule="auto"/>
            </w:pPr>
            <w:r>
              <w:rPr>
                <w:rFonts w:ascii="Times New Roman" w:hAnsi="Times New Roman"/>
                <w:b w:val="0"/>
                <w:sz w:val="22"/>
              </w:rPr>
              <w:t>Бастапқы жағдаймен салыстыру және құпиялылық</w:t>
            </w:r>
          </w:p>
        </w:tc>
      </w:tr>
    </w:tbl>
    <w:p>
      <w:pPr>
        <w:pStyle w:val="af"/>
        <w:spacing w:line="276" w:lineRule="auto" w:after="120"/>
        <w:ind w:firstLine="720"/>
        <w:jc w:val="both"/>
      </w:pPr>
      <w:r>
        <w:rPr>
          <w:lang w:val="kk-KZ"/>
        </w:rPr>
        <w:t>Тәжірибені көшіруде ұлттық ережелер мен мектеп ресурстарын ескеру қажет. Италиядағы топ атауы мен құжат нысанын Қазақстанда міндетті рәсім ретінде енгізуге болмайды. Қазақстан үшін бағалау №4 бұйрыққа, мектептегі қолдау №92 қағидаларына сүйенеді. [4] Пайдалысы — осы рәсімдер аясында ортақ жауапкершілікті, нақты оқу мақсатын және оқушының пікірін күшейту.</w:t>
      </w:r>
    </w:p>
    <w:p>
      <w:pPr>
        <w:pStyle w:val="1"/>
      </w:pPr>
      <w:r>
        <w:t>Қорытынды</w:t>
      </w:r>
    </w:p>
    <w:p>
      <w:pPr>
        <w:pStyle w:val="af"/>
        <w:spacing w:line="276" w:lineRule="auto" w:after="120"/>
        <w:ind w:firstLine="720"/>
        <w:jc w:val="both"/>
      </w:pPr>
      <w:r>
        <w:rPr>
          <w:lang w:val="kk-KZ"/>
        </w:rPr>
        <w:t>Италия тәжірибесінің негізгі құндылығы жалпы сыныптағы оқуды жеке жоспар, мамандар ынтымақтастығы және отбасының қатысуымен байланыстыруында. Мен үшін үлгі болатын шешім — қолдауды оқушыны бөлу құралы ретінде емес, ортақ оқу әрекетіне қатысуын қамтамасыз ету тәсілі ретінде жоспарлау. Нәтижені бағалауда ғимараттың жабдықталуымен бірге баланың тапсырманы түсінуі, ойын білдіруі және құрдастарымен жұмысқа араласуы қарастырылуы керек. Қолдау сапасы тек заң атауына емес, күнделікті бірлескен әрекеттің жүйелілігіне байланысты.</w:t>
      </w:r>
    </w:p>
    <w:p>
      <w:pPr>
        <w:pStyle w:val="1"/>
      </w:pPr>
      <w:r>
        <w:t>Пайдаланылған әдебиеттер</w:t>
      </w:r>
    </w:p>
    <w:p>
      <w:pPr>
        <w:spacing w:after="120"/>
        <w:jc w:val="left"/>
      </w:pPr>
      <w:r>
        <w:rPr>
          <w:sz w:val="22"/>
        </w:rPr>
        <w:t>1. European Agency for Special Needs and Inclusive Education. Italy: Legislation and policy. URL: https://www.european-agency.org/country-information/italy/legislation-and-policy</w:t>
      </w:r>
    </w:p>
    <w:p>
      <w:pPr>
        <w:spacing w:after="120"/>
        <w:jc w:val="left"/>
      </w:pPr>
      <w:r>
        <w:rPr>
          <w:sz w:val="22"/>
        </w:rPr>
        <w:t>2. Senato della Repubblica. Legislatura 19. Dossier n.580, Vol.III. Инклюзия және PEI жөніндегі бөлім. URL: https://www.senato.it/show-doc?id=1477493&amp;leg=19&amp;part=dossier_dossier1-sezione_sezione12-h1_h111&amp;tipodoc=DOSSIER</w:t>
      </w:r>
    </w:p>
    <w:p>
      <w:pPr>
        <w:spacing w:after="120"/>
        <w:jc w:val="left"/>
      </w:pPr>
      <w:r>
        <w:rPr>
          <w:sz w:val="22"/>
        </w:rPr>
        <w:t>3. Ministero dell’Istruzione e del Merito. Bisogni educativi speciali. URL: https://www.mim.gov.it/bisogni-educativi-speciali</w:t>
      </w:r>
    </w:p>
    <w:p>
      <w:pPr>
        <w:spacing w:after="120"/>
        <w:jc w:val="left"/>
      </w:pPr>
      <w:r>
        <w:rPr>
          <w:sz w:val="22"/>
        </w:rPr>
        <w:t>4. ҚР Оқу-ағарту министрлігі. ППҚҚ қағидалары, 29.04.2025 №92 бұйрық; ЕБҚ бағалау қағидалары мен бағдарламалары, 12.01.2022 №4 бұйрық. URL: https://old.adilet.zan.kz/kaz/docs/V2500036047 ; https://old.adilet.zan.kz/kaz/docs/V2200026618/compare</w:t>
      </w:r>
    </w:p>
    <w:p>
      <w:pPr>
        <w:spacing w:after="120"/>
        <w:jc w:val="left"/>
      </w:pPr>
      <w:r>
        <w:rPr>
          <w:sz w:val="22"/>
        </w:rPr>
        <w:t>Дереккөздерге жүгінген күн: 02.10.2026.</w:t>
      </w:r>
    </w:p>
    <w:sectPr w:rsidR="003F2A86" w:rsidRPr="004241FF" w:rsidSect="004241FF">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A4B39" w14:textId="77777777" w:rsidR="007517FA" w:rsidRDefault="007517FA" w:rsidP="004241FF">
      <w:pPr>
        <w:spacing w:after="0" w:line="240" w:lineRule="auto"/>
      </w:pPr>
      <w:r>
        <w:separator/>
      </w:r>
    </w:p>
  </w:endnote>
  <w:endnote w:type="continuationSeparator" w:id="0">
    <w:p w14:paraId="567EDE5C" w14:textId="77777777" w:rsidR="007517FA" w:rsidRDefault="007517FA" w:rsidP="00424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C48D7" w14:textId="77777777" w:rsidR="007517FA" w:rsidRDefault="007517FA" w:rsidP="004241FF">
      <w:pPr>
        <w:spacing w:after="0" w:line="240" w:lineRule="auto"/>
      </w:pPr>
      <w:r>
        <w:separator/>
      </w:r>
    </w:p>
  </w:footnote>
  <w:footnote w:type="continuationSeparator" w:id="0">
    <w:p w14:paraId="5779B4BF" w14:textId="77777777" w:rsidR="007517FA" w:rsidRDefault="007517FA" w:rsidP="004241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12317389">
    <w:abstractNumId w:val="8"/>
  </w:num>
  <w:num w:numId="2" w16cid:durableId="1042631100">
    <w:abstractNumId w:val="6"/>
  </w:num>
  <w:num w:numId="3" w16cid:durableId="1174998952">
    <w:abstractNumId w:val="5"/>
  </w:num>
  <w:num w:numId="4" w16cid:durableId="1944024009">
    <w:abstractNumId w:val="4"/>
  </w:num>
  <w:num w:numId="5" w16cid:durableId="1093084128">
    <w:abstractNumId w:val="7"/>
  </w:num>
  <w:num w:numId="6" w16cid:durableId="107361408">
    <w:abstractNumId w:val="3"/>
  </w:num>
  <w:num w:numId="7" w16cid:durableId="143089389">
    <w:abstractNumId w:val="2"/>
  </w:num>
  <w:num w:numId="8" w16cid:durableId="663894472">
    <w:abstractNumId w:val="1"/>
  </w:num>
  <w:num w:numId="9" w16cid:durableId="223563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756A"/>
    <w:rsid w:val="00326F90"/>
    <w:rsid w:val="003F2A86"/>
    <w:rsid w:val="004241FF"/>
    <w:rsid w:val="007517FA"/>
    <w:rsid w:val="00783ECF"/>
    <w:rsid w:val="00AA1D8D"/>
    <w:rsid w:val="00B47730"/>
    <w:rsid w:val="00C217BF"/>
    <w:rsid w:val="00C3030F"/>
    <w:rsid w:val="00CB0664"/>
    <w:rsid w:val="00D527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7C20A6"/>
  <w14:defaultImageDpi w14:val="300"/>
  <w15:docId w15:val="{2C2BA414-6CA0-409D-BF45-FD39F65BD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color w:val="222222"/>
      <w:sz w:val="24"/>
    </w:rPr>
  </w:style>
  <w:style w:type="paragraph" w:styleId="1">
    <w:name w:val="heading 1"/>
    <w:basedOn w:val="a1"/>
    <w:next w:val="a1"/>
    <w:link w:val="10"/>
    <w:uiPriority w:val="9"/>
    <w:qFormat/>
    <w:rsid w:val="004241FF"/>
    <w:pPr>
      <w:keepNext/>
      <w:keepLines/>
      <w:spacing w:before="240" w:after="0"/>
      <w:outlineLvl w:val="0"/>
    </w:pPr>
    <w:rPr>
      <w:rFonts w:eastAsiaTheme="majorEastAsia" w:cstheme="majorBidi"/>
      <w:b/>
      <w:bCs/>
      <w:color w:val="365F91" w:themeColor="accent1" w:themeShade="BF"/>
      <w:sz w:val="32"/>
      <w:szCs w:val="28"/>
    </w:rPr>
  </w:style>
  <w:style w:type="paragraph" w:styleId="21">
    <w:name w:val="heading 2"/>
    <w:basedOn w:val="a1"/>
    <w:next w:val="a1"/>
    <w:link w:val="22"/>
    <w:uiPriority w:val="9"/>
    <w:unhideWhenUsed/>
    <w:qFormat/>
    <w:rsid w:val="00C217BF"/>
    <w:pPr>
      <w:keepNext/>
      <w:keepLines/>
      <w:spacing w:before="200" w:after="0"/>
      <w:ind w:firstLine="720"/>
      <w:outlineLvl w:val="1"/>
    </w:pPr>
    <w:rPr>
      <w:rFonts w:eastAsiaTheme="majorEastAsia"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4241FF"/>
    <w:rPr>
      <w:rFonts w:ascii="Times New Roman" w:eastAsiaTheme="majorEastAsia" w:hAnsi="Times New Roman" w:cstheme="majorBidi"/>
      <w:b/>
      <w:bCs/>
      <w:color w:val="365F91" w:themeColor="accent1" w:themeShade="BF"/>
      <w:sz w:val="32"/>
      <w:szCs w:val="28"/>
    </w:rPr>
  </w:style>
  <w:style w:type="character" w:customStyle="1" w:styleId="22">
    <w:name w:val="Заголовок 2 Знак"/>
    <w:basedOn w:val="a2"/>
    <w:link w:val="21"/>
    <w:uiPriority w:val="9"/>
    <w:rsid w:val="00C217BF"/>
    <w:rPr>
      <w:rFonts w:ascii="Times New Roman" w:eastAsiaTheme="majorEastAsia" w:hAnsi="Times New Roman" w:cstheme="majorBidi"/>
      <w:b/>
      <w:bCs/>
      <w:color w:val="4F81BD" w:themeColor="accent1"/>
      <w:sz w:val="28"/>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4241FF"/>
    <w:pPr>
      <w:spacing w:after="100"/>
    </w:pPr>
  </w:style>
  <w:style w:type="character" w:styleId="aff8">
    <w:name w:val="Hyperlink"/>
    <w:basedOn w:val="a2"/>
    <w:uiPriority w:val="99"/>
    <w:unhideWhenUsed/>
    <w:rsid w:val="004241FF"/>
    <w:rPr>
      <w:color w:val="0000FF" w:themeColor="hyperlink"/>
      <w:u w:val="single"/>
    </w:rPr>
  </w:style>
  <w:style w:type="paragraph" w:styleId="2c">
    <w:name w:val="toc 2"/>
    <w:basedOn w:val="a1"/>
    <w:next w:val="a1"/>
    <w:autoRedefine/>
    <w:uiPriority w:val="39"/>
    <w:unhideWhenUsed/>
    <w:rsid w:val="00C217BF"/>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598</Words>
  <Characters>3415</Characters>
  <Application>Microsoft Office Word</Application>
  <DocSecurity>0</DocSecurity>
  <Lines>28</Lines>
  <Paragraphs>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4005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Инклюзивті білім беру ортасы 2-апта БӨЖ</dc:title>
  <dc:subject>Шет елдердегі озат инклюзивті тәжірибе Италия</dc:subject>
  <dc:creator>Биарстанов Д.А.</dc:creator>
  <cp:keywords/>
  <dc:description>generated by python-docx</dc:description>
  <cp:lastModifiedBy>Биарстанов Д.А.</cp:lastModifiedBy>
  <cp:revision>3</cp:revision>
  <dcterms:created xsi:type="dcterms:W3CDTF">2026-10-02T15:54:00Z</dcterms:created>
  <dcterms:modified xsi:type="dcterms:W3CDTF">2026-10-02T16:26:00Z</dcterms:modified>
  <cp:category/>
</cp:coreProperties>
</file>