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БӨЖ2</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Инклюзивті білім беру ортасы</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Қазақстандағы инклюзивті білім берудің тарихы</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Жаканбаева Б.Б.</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Кіріспе</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Қолдау жүйесінің құқықтық алғышарттары</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Жоспарлы даму және халықаралық міндеттемелер</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Қажеттілікті бағалау мен мектеп қолдауының нақтылануы</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Негізгі кезеңдердің хронологиясы</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Қорытынды</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5</w:t>
          </w:r>
        </w:p>
      </w:sdtContent>
    </w:sdt>
    <w:p>
      <w:pPr>
        <w:pStyle w:val="1"/>
        <w:pageBreakBefore/>
      </w:pPr>
      <w:r>
        <w:t>Кіріспе</w:t>
      </w:r>
    </w:p>
    <w:p>
      <w:pPr>
        <w:pStyle w:val="af"/>
        <w:spacing w:line="276" w:lineRule="auto" w:after="120"/>
        <w:ind w:firstLine="720"/>
        <w:jc w:val="both"/>
      </w:pPr>
      <w:r>
        <w:rPr>
          <w:lang w:val="kk-KZ"/>
        </w:rPr>
        <w:t>Қазақстандағы инклюзивті білім беру арнайы қолдау жүйесінің қалыптасуы, білімге тең қолжетімділіктің құқықтық бекітілуі және жалпы білім беру ортасын өзгерту кезеңдерімен байланысты дамыды. Бұл тарихты бір ғана «басталу жылына» тіреу жеткіліксіз: заңнамалық шешімдер, мамандар қызметі және мектептің күнделікті практикасы әр кезеңде өзгерді. Жұмыстың мақсаты — ресми құжаттарда көрінетін негізгі кезеңдерді жүйелеп, олардың педагогикалық мағынасын түсіндіру. Қабылданған бағдарламаның мақсаты мен іс жүзінде орындалған нәтижесі бір көрсеткіш ретінде қарастырылмайды.</w:t>
      </w:r>
    </w:p>
    <w:p>
      <w:pPr>
        <w:pStyle w:val="1"/>
      </w:pPr>
      <w:r>
        <w:t>Қолдау жүйесінің құқықтық алғышарттары</w:t>
      </w:r>
    </w:p>
    <w:p>
      <w:pPr>
        <w:pStyle w:val="af"/>
        <w:spacing w:line="276" w:lineRule="auto" w:after="120"/>
        <w:ind w:firstLine="720"/>
        <w:jc w:val="both"/>
      </w:pPr>
      <w:r>
        <w:rPr>
          <w:lang w:val="kk-KZ"/>
        </w:rPr>
        <w:t>2002 жылғы 11 шілдеде балаларды әлеуметтік және медициналық-педагогикалық түзеу арқылы қолдау туралы заң қабылданды. Оның тарихи атауы сол кезеңдегі арнайы қолдау түсінігін көрсетеді. Кейінгі инклюзивті саясат тұжырымдамасы бұл заңды балаларды қолдау жүйесінің маңызды құқықтық кезеңдерінің бірі ретінде атайды. [1] Тарихи атаудың өзінде кездесетін ескі терминологияны қазіргі білім алушыға күнделікті қарым-қатынаста қолдануға болмайды: құжат атауын сақтау мен адамды құрметпен атау — екі түрлі міндет.</w:t>
      </w:r>
    </w:p>
    <w:p>
      <w:pPr>
        <w:pStyle w:val="af"/>
        <w:spacing w:line="276" w:lineRule="auto" w:after="120"/>
        <w:ind w:firstLine="720"/>
        <w:jc w:val="both"/>
      </w:pPr>
      <w:r>
        <w:rPr>
          <w:lang w:val="kk-KZ"/>
        </w:rPr>
        <w:t>2007 жылғы «Білім туралы» заң білім беру жүйесінің жалпы құқықтық негізін бекітті. Қазіргі мәтінде инклюзивті білім беру барлық білім алушының қажеттілігі мен жеке мүмкіндігін ескеретін тең қолжетімділік үдерісі ретінде түсіндіріледі. Дегенмен бүгінгі анықтаманы заңның бастапқы 2007 жылғы нұсқасында дәл осылай болған деп көрсету дұрыс емес: қолданыстағы мәтінге кейін өзгерістер енгізілген. Сондықтан тарихты талдағанда құжаттың қабылдану күні мен норманың өзгеру күні ажыратылады. [2]</w:t>
      </w:r>
    </w:p>
    <w:p>
      <w:pPr>
        <w:pStyle w:val="1"/>
      </w:pPr>
      <w:r>
        <w:t>Жоспарлы даму және халықаралық міндеттемелер</w:t>
      </w:r>
    </w:p>
    <w:p>
      <w:pPr>
        <w:pStyle w:val="af"/>
        <w:spacing w:line="276" w:lineRule="auto" w:after="120"/>
        <w:ind w:firstLine="720"/>
        <w:jc w:val="both"/>
      </w:pPr>
      <w:r>
        <w:rPr>
          <w:lang w:val="kk-KZ"/>
        </w:rPr>
        <w:t>2010 жылғы 7 желтоқсанда бекітілген 2011–2020 жылдарға арналған мемлекеттік бағдарламада инклюзивті білім жүйесін дамыту арнайы бағыт ретінде қарастырылды. Онда жалпы білім беру ортасында оқуға жағдай жасау және ерте қолдау кабинеттері желісін дамыту міндеттері берілді. [3] Бұл бағдарлама тарихи жоспарлау құжаты ретінде маңызды; оның жоспарлы көрсеткіштерін кейінгі нақты нәтижелермен шатастыруға болмайды. Инклюзия жеке мектептің бастамасынан мемлекеттік жоспарлау нысанына айнала бастағанын осы кезеңнен байқауға болады.</w:t>
      </w:r>
    </w:p>
    <w:p>
      <w:pPr>
        <w:pStyle w:val="af"/>
        <w:spacing w:line="276" w:lineRule="auto" w:after="120"/>
        <w:ind w:firstLine="720"/>
        <w:jc w:val="both"/>
      </w:pPr>
      <w:r>
        <w:rPr>
          <w:lang w:val="kk-KZ"/>
        </w:rPr>
        <w:t>2015 жылғы 20 ақпанда Қазақстан Мүгедектердің құқықтары туралы конвенцияны ратификациялады. [4] Конвенцияның білім беру жөніндегі қағидалары инклюзивті жүйе, қажетті қолдау және ақылға қонымды бейімдеу мәселелерін халықаралық міндеттемемен байланыстырды. Менің талдауым бойынша, бұл кезеңде білім алуға қолжетімділікті әлеуметтік көмек ретінде ғана емес, құқық мәселесі ретінде қарастыру күшейді. Ұлттық практикада бұл міндет нақты заңдар, қағидалар және мектептегі ұйымдастыру әрекеттері арқылы орындалуы керек.</w:t>
      </w:r>
    </w:p>
    <w:p>
      <w:pPr>
        <w:pStyle w:val="1"/>
      </w:pPr>
      <w:r>
        <w:t>Қажеттілікті бағалау мен мектеп қолдауының нақтылануы</w:t>
      </w:r>
    </w:p>
    <w:p>
      <w:pPr>
        <w:pStyle w:val="af"/>
        <w:spacing w:line="276" w:lineRule="auto" w:after="120"/>
        <w:ind w:firstLine="720"/>
        <w:jc w:val="both"/>
      </w:pPr>
      <w:r>
        <w:rPr>
          <w:lang w:val="kk-KZ"/>
        </w:rPr>
        <w:t>2021 жылғы 26 маусымдағы №56-VII заң инклюзивті білім беру мәселелері бойынша бірнеше заңға өзгерістер енгізді. ЕБҚ бағалау, арнаулы жағдайлар және ПМПК қызметінің мазмұны нақтыланды. [5] Бұл баланың оқу жағдайын анықтау үшін қажеттілікті бағалаудың маңызын арттырды. Қолдау тек диагноз атауына негізделмеуі тиіс: оқу бағдарламасын меңгеруге және мектеп өміріне қатысуға қандай жағдай керектігі анықталуы қажет.</w:t>
      </w:r>
    </w:p>
    <w:p>
      <w:pPr>
        <w:pStyle w:val="af"/>
        <w:spacing w:line="276" w:lineRule="auto" w:after="120"/>
        <w:ind w:firstLine="720"/>
        <w:jc w:val="both"/>
      </w:pPr>
      <w:r>
        <w:rPr>
          <w:lang w:val="kk-KZ"/>
        </w:rPr>
        <w:t>2022 жылғы №4 бұйрық ЕБҚ бағалау қағидаларын бекітті, ал №385 бұйрық білім беру ұйымдарының қызмет тәртібін жүйеледі. 2025 жылғы №104 өзгеріс №4 бұйрықтың атауы мен мазмұнын жаңартып, бағалау бағдарламаларын енгізді. 2025 жылғы №92 бұйрық білім беру ұйымындағы психологиялық-педагогикалық қолдау қызметінің тәртібін бекітті; оның қағидалары 2026 жылы жаңа редакцияда берілді. [6; 7] Осы өзгерістер қолдауды бір реттік қорытындыдан гөрі бағалау, жоспарлау, іске асыру және қайта қарау үдерісі ретінде ұйымдастыруға негіз болады.</w:t>
      </w:r>
    </w:p>
    <w:p>
      <w:pPr>
        <w:pStyle w:val="1"/>
      </w:pPr>
      <w:r>
        <w:t>Негізгі кезеңдердің хронологиясы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1224"/>
        <w:gridCol w:w="4176"/>
        <w:gridCol w:w="4003"/>
      </w:tblGrid>
      <w:tr>
        <w:trPr>
          <w:tblHeader/>
        </w:trPr>
        <w:tc>
          <w:tcPr>
            <w:tcW w:type="dxa" w:w="1224"/>
            <w:vAlign w:val="center"/>
            <w:shd w:fill="EEEEEE"/>
          </w:tcPr>
          <w:p>
            <w:pPr>
              <w:spacing w:after="60" w:before="60" w:line="240" w:lineRule="auto"/>
            </w:pPr>
            <w:r>
              <w:rPr>
                <w:rFonts w:ascii="Times New Roman" w:hAnsi="Times New Roman"/>
                <w:b/>
                <w:sz w:val="22"/>
              </w:rPr>
              <w:t>Кезең</w:t>
            </w:r>
          </w:p>
        </w:tc>
        <w:tc>
          <w:tcPr>
            <w:tcW w:type="dxa" w:w="4176"/>
            <w:vAlign w:val="center"/>
            <w:shd w:fill="EEEEEE"/>
          </w:tcPr>
          <w:p>
            <w:pPr>
              <w:spacing w:after="60" w:before="60" w:line="240" w:lineRule="auto"/>
            </w:pPr>
            <w:r>
              <w:rPr>
                <w:rFonts w:ascii="Times New Roman" w:hAnsi="Times New Roman"/>
                <w:b/>
                <w:sz w:val="22"/>
              </w:rPr>
              <w:t>Ресми оқиға</w:t>
            </w:r>
          </w:p>
        </w:tc>
        <w:tc>
          <w:tcPr>
            <w:tcW w:type="dxa" w:w="4003"/>
            <w:vAlign w:val="center"/>
            <w:shd w:fill="EEEEEE"/>
          </w:tcPr>
          <w:p>
            <w:pPr>
              <w:spacing w:after="60" w:before="60" w:line="240" w:lineRule="auto"/>
            </w:pPr>
            <w:r>
              <w:rPr>
                <w:rFonts w:ascii="Times New Roman" w:hAnsi="Times New Roman"/>
                <w:b/>
                <w:sz w:val="22"/>
              </w:rPr>
              <w:t>Тарихи мағынасы</w:t>
            </w:r>
          </w:p>
        </w:tc>
      </w:tr>
      <w:tr>
        <w:tc>
          <w:tcPr>
            <w:tcW w:type="dxa" w:w="1224"/>
            <w:vAlign w:val="center"/>
          </w:tcPr>
          <w:p>
            <w:pPr>
              <w:spacing w:after="60" w:before="60" w:line="240" w:lineRule="auto"/>
            </w:pPr>
            <w:r>
              <w:rPr>
                <w:rFonts w:ascii="Times New Roman" w:hAnsi="Times New Roman"/>
                <w:b w:val="0"/>
                <w:sz w:val="22"/>
              </w:rPr>
              <w:t>2002</w:t>
            </w:r>
          </w:p>
        </w:tc>
        <w:tc>
          <w:tcPr>
            <w:tcW w:type="dxa" w:w="4176"/>
            <w:vAlign w:val="center"/>
          </w:tcPr>
          <w:p>
            <w:pPr>
              <w:spacing w:after="60" w:before="60" w:line="240" w:lineRule="auto"/>
            </w:pPr>
            <w:r>
              <w:rPr>
                <w:rFonts w:ascii="Times New Roman" w:hAnsi="Times New Roman"/>
                <w:b w:val="0"/>
                <w:sz w:val="22"/>
              </w:rPr>
              <w:t>Балаларды түзеу арқылы қолдау туралы заң</w:t>
            </w:r>
          </w:p>
        </w:tc>
        <w:tc>
          <w:tcPr>
            <w:tcW w:type="dxa" w:w="4003"/>
            <w:vAlign w:val="center"/>
          </w:tcPr>
          <w:p>
            <w:pPr>
              <w:spacing w:after="60" w:before="60" w:line="240" w:lineRule="auto"/>
            </w:pPr>
            <w:r>
              <w:rPr>
                <w:rFonts w:ascii="Times New Roman" w:hAnsi="Times New Roman"/>
                <w:b w:val="0"/>
                <w:sz w:val="22"/>
              </w:rPr>
              <w:t>Арнайы қолдау жүйесінің құқықтық негізін дамыту</w:t>
            </w:r>
          </w:p>
        </w:tc>
      </w:tr>
      <w:tr>
        <w:tc>
          <w:tcPr>
            <w:tcW w:type="dxa" w:w="1224"/>
            <w:vAlign w:val="center"/>
          </w:tcPr>
          <w:p>
            <w:pPr>
              <w:spacing w:after="60" w:before="60" w:line="240" w:lineRule="auto"/>
            </w:pPr>
            <w:r>
              <w:rPr>
                <w:rFonts w:ascii="Times New Roman" w:hAnsi="Times New Roman"/>
                <w:b w:val="0"/>
                <w:sz w:val="22"/>
              </w:rPr>
              <w:t>2007</w:t>
            </w:r>
          </w:p>
        </w:tc>
        <w:tc>
          <w:tcPr>
            <w:tcW w:type="dxa" w:w="4176"/>
            <w:vAlign w:val="center"/>
          </w:tcPr>
          <w:p>
            <w:pPr>
              <w:spacing w:after="60" w:before="60" w:line="240" w:lineRule="auto"/>
            </w:pPr>
            <w:r>
              <w:rPr>
                <w:rFonts w:ascii="Times New Roman" w:hAnsi="Times New Roman"/>
                <w:b w:val="0"/>
                <w:sz w:val="22"/>
              </w:rPr>
              <w:t>Білім туралы заң</w:t>
            </w:r>
          </w:p>
        </w:tc>
        <w:tc>
          <w:tcPr>
            <w:tcW w:type="dxa" w:w="4003"/>
            <w:vAlign w:val="center"/>
          </w:tcPr>
          <w:p>
            <w:pPr>
              <w:spacing w:after="60" w:before="60" w:line="240" w:lineRule="auto"/>
            </w:pPr>
            <w:r>
              <w:rPr>
                <w:rFonts w:ascii="Times New Roman" w:hAnsi="Times New Roman"/>
                <w:b w:val="0"/>
                <w:sz w:val="22"/>
              </w:rPr>
              <w:t>Білім беру жүйесінің жалпы құқықтық негізі</w:t>
            </w:r>
          </w:p>
        </w:tc>
      </w:tr>
      <w:tr>
        <w:tc>
          <w:tcPr>
            <w:tcW w:type="dxa" w:w="1224"/>
            <w:vAlign w:val="center"/>
          </w:tcPr>
          <w:p>
            <w:pPr>
              <w:spacing w:after="60" w:before="60" w:line="240" w:lineRule="auto"/>
            </w:pPr>
            <w:r>
              <w:rPr>
                <w:rFonts w:ascii="Times New Roman" w:hAnsi="Times New Roman"/>
                <w:b w:val="0"/>
                <w:sz w:val="22"/>
              </w:rPr>
              <w:t>2010–2011</w:t>
            </w:r>
          </w:p>
        </w:tc>
        <w:tc>
          <w:tcPr>
            <w:tcW w:type="dxa" w:w="4176"/>
            <w:vAlign w:val="center"/>
          </w:tcPr>
          <w:p>
            <w:pPr>
              <w:spacing w:after="60" w:before="60" w:line="240" w:lineRule="auto"/>
            </w:pPr>
            <w:r>
              <w:rPr>
                <w:rFonts w:ascii="Times New Roman" w:hAnsi="Times New Roman"/>
                <w:b w:val="0"/>
                <w:sz w:val="22"/>
              </w:rPr>
              <w:t>2011–2020 жылдарға арналған бағдарлама бекітілді</w:t>
            </w:r>
          </w:p>
        </w:tc>
        <w:tc>
          <w:tcPr>
            <w:tcW w:type="dxa" w:w="4003"/>
            <w:vAlign w:val="center"/>
          </w:tcPr>
          <w:p>
            <w:pPr>
              <w:spacing w:after="60" w:before="60" w:line="240" w:lineRule="auto"/>
            </w:pPr>
            <w:r>
              <w:rPr>
                <w:rFonts w:ascii="Times New Roman" w:hAnsi="Times New Roman"/>
                <w:b w:val="0"/>
                <w:sz w:val="22"/>
              </w:rPr>
              <w:t>Инклюзияны мемлекеттік жоспарлауға енгізу</w:t>
            </w:r>
          </w:p>
        </w:tc>
      </w:tr>
      <w:tr>
        <w:tc>
          <w:tcPr>
            <w:tcW w:type="dxa" w:w="1224"/>
            <w:vAlign w:val="center"/>
          </w:tcPr>
          <w:p>
            <w:pPr>
              <w:spacing w:after="60" w:before="60" w:line="240" w:lineRule="auto"/>
            </w:pPr>
            <w:r>
              <w:rPr>
                <w:rFonts w:ascii="Times New Roman" w:hAnsi="Times New Roman"/>
                <w:b w:val="0"/>
                <w:sz w:val="22"/>
              </w:rPr>
              <w:t>2015</w:t>
            </w:r>
          </w:p>
        </w:tc>
        <w:tc>
          <w:tcPr>
            <w:tcW w:type="dxa" w:w="4176"/>
            <w:vAlign w:val="center"/>
          </w:tcPr>
          <w:p>
            <w:pPr>
              <w:spacing w:after="60" w:before="60" w:line="240" w:lineRule="auto"/>
            </w:pPr>
            <w:r>
              <w:rPr>
                <w:rFonts w:ascii="Times New Roman" w:hAnsi="Times New Roman"/>
                <w:b w:val="0"/>
                <w:sz w:val="22"/>
              </w:rPr>
              <w:t>БҰҰ конвенциясын ратификациялау</w:t>
            </w:r>
          </w:p>
        </w:tc>
        <w:tc>
          <w:tcPr>
            <w:tcW w:type="dxa" w:w="4003"/>
            <w:vAlign w:val="center"/>
          </w:tcPr>
          <w:p>
            <w:pPr>
              <w:spacing w:after="60" w:before="60" w:line="240" w:lineRule="auto"/>
            </w:pPr>
            <w:r>
              <w:rPr>
                <w:rFonts w:ascii="Times New Roman" w:hAnsi="Times New Roman"/>
                <w:b w:val="0"/>
                <w:sz w:val="22"/>
              </w:rPr>
              <w:t>Білім құқығын халықаралық міндеттемемен байланыстыру</w:t>
            </w:r>
          </w:p>
        </w:tc>
      </w:tr>
      <w:tr>
        <w:tc>
          <w:tcPr>
            <w:tcW w:type="dxa" w:w="1224"/>
            <w:vAlign w:val="center"/>
          </w:tcPr>
          <w:p>
            <w:pPr>
              <w:spacing w:after="60" w:before="60" w:line="240" w:lineRule="auto"/>
            </w:pPr>
            <w:r>
              <w:rPr>
                <w:rFonts w:ascii="Times New Roman" w:hAnsi="Times New Roman"/>
                <w:b w:val="0"/>
                <w:sz w:val="22"/>
              </w:rPr>
              <w:t>2021</w:t>
            </w:r>
          </w:p>
        </w:tc>
        <w:tc>
          <w:tcPr>
            <w:tcW w:type="dxa" w:w="4176"/>
            <w:vAlign w:val="center"/>
          </w:tcPr>
          <w:p>
            <w:pPr>
              <w:spacing w:after="60" w:before="60" w:line="240" w:lineRule="auto"/>
            </w:pPr>
            <w:r>
              <w:rPr>
                <w:rFonts w:ascii="Times New Roman" w:hAnsi="Times New Roman"/>
                <w:b w:val="0"/>
                <w:sz w:val="22"/>
              </w:rPr>
              <w:t>№56-VII өзгерістер заңы</w:t>
            </w:r>
          </w:p>
        </w:tc>
        <w:tc>
          <w:tcPr>
            <w:tcW w:type="dxa" w:w="4003"/>
            <w:vAlign w:val="center"/>
          </w:tcPr>
          <w:p>
            <w:pPr>
              <w:spacing w:after="60" w:before="60" w:line="240" w:lineRule="auto"/>
            </w:pPr>
            <w:r>
              <w:rPr>
                <w:rFonts w:ascii="Times New Roman" w:hAnsi="Times New Roman"/>
                <w:b w:val="0"/>
                <w:sz w:val="22"/>
              </w:rPr>
              <w:t>ЕБҚ бағалау мен арнаулы жағдайларды нақтылау</w:t>
            </w:r>
          </w:p>
        </w:tc>
      </w:tr>
      <w:tr>
        <w:tc>
          <w:tcPr>
            <w:tcW w:type="dxa" w:w="1224"/>
            <w:vAlign w:val="center"/>
          </w:tcPr>
          <w:p>
            <w:pPr>
              <w:spacing w:after="60" w:before="60" w:line="240" w:lineRule="auto"/>
            </w:pPr>
            <w:r>
              <w:rPr>
                <w:rFonts w:ascii="Times New Roman" w:hAnsi="Times New Roman"/>
                <w:b w:val="0"/>
                <w:sz w:val="22"/>
              </w:rPr>
              <w:t>2022</w:t>
            </w:r>
          </w:p>
        </w:tc>
        <w:tc>
          <w:tcPr>
            <w:tcW w:type="dxa" w:w="4176"/>
            <w:vAlign w:val="center"/>
          </w:tcPr>
          <w:p>
            <w:pPr>
              <w:spacing w:after="60" w:before="60" w:line="240" w:lineRule="auto"/>
            </w:pPr>
            <w:r>
              <w:rPr>
                <w:rFonts w:ascii="Times New Roman" w:hAnsi="Times New Roman"/>
                <w:b w:val="0"/>
                <w:sz w:val="22"/>
              </w:rPr>
              <w:t>№4 және №385 бұйрықтар</w:t>
            </w:r>
          </w:p>
        </w:tc>
        <w:tc>
          <w:tcPr>
            <w:tcW w:type="dxa" w:w="4003"/>
            <w:vAlign w:val="center"/>
          </w:tcPr>
          <w:p>
            <w:pPr>
              <w:spacing w:after="60" w:before="60" w:line="240" w:lineRule="auto"/>
            </w:pPr>
            <w:r>
              <w:rPr>
                <w:rFonts w:ascii="Times New Roman" w:hAnsi="Times New Roman"/>
                <w:b w:val="0"/>
                <w:sz w:val="22"/>
              </w:rPr>
              <w:t>Бағалау мен ұйымдар қызметінің рәсімдерін жүйелеу</w:t>
            </w:r>
          </w:p>
        </w:tc>
      </w:tr>
      <w:tr>
        <w:tc>
          <w:tcPr>
            <w:tcW w:type="dxa" w:w="1224"/>
            <w:vAlign w:val="center"/>
          </w:tcPr>
          <w:p>
            <w:pPr>
              <w:spacing w:after="60" w:before="60" w:line="240" w:lineRule="auto"/>
            </w:pPr>
            <w:r>
              <w:rPr>
                <w:rFonts w:ascii="Times New Roman" w:hAnsi="Times New Roman"/>
                <w:b w:val="0"/>
                <w:sz w:val="22"/>
              </w:rPr>
              <w:t>2024–2025</w:t>
            </w:r>
          </w:p>
        </w:tc>
        <w:tc>
          <w:tcPr>
            <w:tcW w:type="dxa" w:w="4176"/>
            <w:vAlign w:val="center"/>
          </w:tcPr>
          <w:p>
            <w:pPr>
              <w:spacing w:after="60" w:before="60" w:line="240" w:lineRule="auto"/>
            </w:pPr>
            <w:r>
              <w:rPr>
                <w:rFonts w:ascii="Times New Roman" w:hAnsi="Times New Roman"/>
                <w:b w:val="0"/>
                <w:sz w:val="22"/>
              </w:rPr>
              <w:t>2025–2030 инклюзивті саясат тұжырымдамасы</w:t>
            </w:r>
          </w:p>
        </w:tc>
        <w:tc>
          <w:tcPr>
            <w:tcW w:type="dxa" w:w="4003"/>
            <w:vAlign w:val="center"/>
          </w:tcPr>
          <w:p>
            <w:pPr>
              <w:spacing w:after="60" w:before="60" w:line="240" w:lineRule="auto"/>
            </w:pPr>
            <w:r>
              <w:rPr>
                <w:rFonts w:ascii="Times New Roman" w:hAnsi="Times New Roman"/>
                <w:b w:val="0"/>
                <w:sz w:val="22"/>
              </w:rPr>
              <w:t>Білімді кең қоғамдық инклюзиямен байланыстыру</w:t>
            </w:r>
          </w:p>
        </w:tc>
      </w:tr>
      <w:tr>
        <w:tc>
          <w:tcPr>
            <w:tcW w:type="dxa" w:w="1224"/>
            <w:vAlign w:val="center"/>
          </w:tcPr>
          <w:p>
            <w:pPr>
              <w:spacing w:after="60" w:before="60" w:line="240" w:lineRule="auto"/>
            </w:pPr>
            <w:r>
              <w:rPr>
                <w:rFonts w:ascii="Times New Roman" w:hAnsi="Times New Roman"/>
                <w:b w:val="0"/>
                <w:sz w:val="22"/>
              </w:rPr>
              <w:t>2025</w:t>
            </w:r>
          </w:p>
        </w:tc>
        <w:tc>
          <w:tcPr>
            <w:tcW w:type="dxa" w:w="4176"/>
            <w:vAlign w:val="center"/>
          </w:tcPr>
          <w:p>
            <w:pPr>
              <w:spacing w:after="60" w:before="60" w:line="240" w:lineRule="auto"/>
            </w:pPr>
            <w:r>
              <w:rPr>
                <w:rFonts w:ascii="Times New Roman" w:hAnsi="Times New Roman"/>
                <w:b w:val="0"/>
                <w:sz w:val="22"/>
              </w:rPr>
              <w:t>№92 бұйрық және №104 өзгеріс</w:t>
            </w:r>
          </w:p>
        </w:tc>
        <w:tc>
          <w:tcPr>
            <w:tcW w:type="dxa" w:w="4003"/>
            <w:vAlign w:val="center"/>
          </w:tcPr>
          <w:p>
            <w:pPr>
              <w:spacing w:after="60" w:before="60" w:line="240" w:lineRule="auto"/>
            </w:pPr>
            <w:r>
              <w:rPr>
                <w:rFonts w:ascii="Times New Roman" w:hAnsi="Times New Roman"/>
                <w:b w:val="0"/>
                <w:sz w:val="22"/>
              </w:rPr>
              <w:t>Мектеп қолдауы мен бағалау бағдарламаларын жаңарту</w:t>
            </w:r>
          </w:p>
        </w:tc>
      </w:tr>
      <w:tr>
        <w:tc>
          <w:tcPr>
            <w:tcW w:type="dxa" w:w="1224"/>
            <w:vAlign w:val="center"/>
          </w:tcPr>
          <w:p>
            <w:pPr>
              <w:spacing w:after="60" w:before="60" w:line="240" w:lineRule="auto"/>
            </w:pPr>
            <w:r>
              <w:rPr>
                <w:rFonts w:ascii="Times New Roman" w:hAnsi="Times New Roman"/>
                <w:b w:val="0"/>
                <w:sz w:val="22"/>
              </w:rPr>
              <w:t>2026</w:t>
            </w:r>
          </w:p>
        </w:tc>
        <w:tc>
          <w:tcPr>
            <w:tcW w:type="dxa" w:w="4176"/>
            <w:vAlign w:val="center"/>
          </w:tcPr>
          <w:p>
            <w:pPr>
              <w:spacing w:after="60" w:before="60" w:line="240" w:lineRule="auto"/>
            </w:pPr>
            <w:r>
              <w:rPr>
                <w:rFonts w:ascii="Times New Roman" w:hAnsi="Times New Roman"/>
                <w:b w:val="0"/>
                <w:sz w:val="22"/>
              </w:rPr>
              <w:t>№92 қағидаларының жаңа редакциясы</w:t>
            </w:r>
          </w:p>
        </w:tc>
        <w:tc>
          <w:tcPr>
            <w:tcW w:type="dxa" w:w="4003"/>
            <w:vAlign w:val="center"/>
          </w:tcPr>
          <w:p>
            <w:pPr>
              <w:spacing w:after="60" w:before="60" w:line="240" w:lineRule="auto"/>
            </w:pPr>
            <w:r>
              <w:rPr>
                <w:rFonts w:ascii="Times New Roman" w:hAnsi="Times New Roman"/>
                <w:b w:val="0"/>
                <w:sz w:val="22"/>
              </w:rPr>
              <w:t>Қолдау қызметінің ұйымдастыру тәртібін жаңарту</w:t>
            </w:r>
          </w:p>
        </w:tc>
      </w:tr>
    </w:tbl>
    <w:p>
      <w:pPr>
        <w:pStyle w:val="1"/>
      </w:pPr>
      <w:r>
        <w:t>Қорытынды</w:t>
      </w:r>
    </w:p>
    <w:p>
      <w:pPr>
        <w:pStyle w:val="af"/>
        <w:spacing w:line="276" w:lineRule="auto" w:after="120"/>
        <w:ind w:firstLine="720"/>
        <w:jc w:val="both"/>
      </w:pPr>
      <w:r>
        <w:rPr>
          <w:lang w:val="kk-KZ"/>
        </w:rPr>
        <w:t>Қазақстандағы даму бағыты арнайы қызметтерді ұйымдастырудан барлық білім алушыға қолжетімді орта мен қажетті қолдауды жоспарлауға қарай кеңейді. 2025–2030 жылдарға арналған инклюзивті саясат тұжырымдамасы мәдениет пен практиканы дамытуды да қарастырады. [1] Алайда құқықтық актінің қабылдануы барлық мектепте бірдей сапалы орта қалыптасты дегенді білдірмейді. Келесі педагогикалық міндет — ресми норманы сабақтағы қолжетімді материал, құрметті қарым-қатынас, мамандар ынтымақтастығы және оқушының нақты қатысуымен байланыстыру. Тарихты білу қазіргі қолдау жүйесінің не үшін құрылғанын және оны қалай жетілдіру керектігін түсінуге көмектеседі.</w:t>
      </w:r>
    </w:p>
    <w:p>
      <w:pPr>
        <w:pStyle w:val="1"/>
      </w:pPr>
      <w:r>
        <w:t>Пайдаланылған әдебиеттер</w:t>
      </w:r>
    </w:p>
    <w:p>
      <w:pPr>
        <w:spacing w:after="120"/>
        <w:jc w:val="left"/>
      </w:pPr>
      <w:r>
        <w:rPr>
          <w:sz w:val="22"/>
        </w:rPr>
        <w:t>1. Қазақстан Республикасындағы инклюзивті саясаттың 2025–2030 жылдарға арналған тұжырымдамасын бекіту туралы. ҚР Үкіметінің 30.12.2024 №1143 қаулысы. URL: https://old.adilet.zan.kz/kaz/docs/P2400001143</w:t>
      </w:r>
    </w:p>
    <w:p>
      <w:pPr>
        <w:spacing w:after="120"/>
        <w:jc w:val="left"/>
      </w:pPr>
      <w:r>
        <w:rPr>
          <w:sz w:val="22"/>
        </w:rPr>
        <w:t>2. Білім туралы. ҚР 27.07.2007 №319 Заңы. URL: https://old.adilet.zan.kz/kaz/docs/Z070000319_</w:t>
      </w:r>
    </w:p>
    <w:p>
      <w:pPr>
        <w:spacing w:after="120"/>
        <w:jc w:val="left"/>
      </w:pPr>
      <w:r>
        <w:rPr>
          <w:sz w:val="22"/>
        </w:rPr>
        <w:t>3. Қазақстан Республикасында білім беруді дамытудың 2011–2020 жылдарға арналған мемлекеттік бағдарламасын бекіту туралы. 07.12.2010 №1118 Жарлық. Тарихи құжат. URL: https://old.adilet.zan.kz/kaz/docs/U1000001118</w:t>
      </w:r>
    </w:p>
    <w:p>
      <w:pPr>
        <w:spacing w:after="120"/>
        <w:jc w:val="left"/>
      </w:pPr>
      <w:r>
        <w:rPr>
          <w:sz w:val="22"/>
        </w:rPr>
        <w:t>4. Мүгедектердің құқықтары туралы конвенцияны ратификациялау туралы. 20.02.2015 №288-V Заң. URL: https://old.adilet.zan.kz/kaz/docs/Z1500000288</w:t>
      </w:r>
    </w:p>
    <w:p>
      <w:pPr>
        <w:spacing w:after="120"/>
        <w:jc w:val="left"/>
      </w:pPr>
      <w:r>
        <w:rPr>
          <w:sz w:val="22"/>
        </w:rPr>
        <w:t>5. Инклюзивті білім беру мәселелері бойынша заңнамалық өзгерістер туралы. 26.06.2021 №56-VII Заң. URL: https://old.adilet.zan.kz/kaz/docs/Z2100000056</w:t>
      </w:r>
    </w:p>
    <w:p>
      <w:pPr>
        <w:spacing w:after="120"/>
        <w:jc w:val="left"/>
      </w:pPr>
      <w:r>
        <w:rPr>
          <w:sz w:val="22"/>
        </w:rPr>
        <w:t>6. ЕБҚ бағалау қағидаларын және бағдарламаларын бекіту туралы. 12.01.2022 №4 бұйрық. URL: https://old.adilet.zan.kz/kaz/docs/V2200026618/compare</w:t>
      </w:r>
    </w:p>
    <w:p>
      <w:pPr>
        <w:spacing w:after="120"/>
        <w:jc w:val="left"/>
      </w:pPr>
      <w:r>
        <w:rPr>
          <w:sz w:val="22"/>
        </w:rPr>
        <w:t>7. Психологиялық-педагогикалық қолдау қызметінің жұмыс істеу қағидалары. 29.04.2025 №92 бұйрық. URL: https://old.adilet.zan.kz/kaz/docs/V2500036047</w:t>
      </w:r>
    </w:p>
    <w:p>
      <w:pPr>
        <w:spacing w:after="120"/>
        <w:jc w:val="left"/>
      </w:pPr>
      <w:r>
        <w:rPr>
          <w:sz w:val="22"/>
        </w:rPr>
        <w:t>Дереккөздерге жүгінген күн: 02.10.2026.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Инклюзивті білім беру ортасы 2-апта БӨЖ</dc:title>
  <dc:subject>Қазақстандағы инклюзивті білім берудің тарихы</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