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B6A9" w14:textId="77777777" w:rsidR="004241FF" w:rsidRPr="004241FF" w:rsidRDefault="004241FF" w:rsidP="004241FF">
      <w:pPr>
        <w:pStyle w:val="af"/>
        <w:spacing w:before="8"/>
        <w:ind w:left="5" w:right="5"/>
        <w:jc w:val="center"/>
        <w:rPr>
          <w:b/>
          <w:bCs/>
          <w:sz w:val="28"/>
          <w:szCs w:val="24"/>
        </w:rPr>
      </w:pPr>
      <w:proofErr w:type="spellStart"/>
      <w:r w:rsidRPr="004241FF">
        <w:rPr>
          <w:b/>
          <w:bCs/>
          <w:sz w:val="28"/>
          <w:szCs w:val="24"/>
        </w:rPr>
        <w:t>Абай</w:t>
      </w:r>
      <w:proofErr w:type="spellEnd"/>
      <w:r w:rsidRPr="004241FF">
        <w:rPr>
          <w:b/>
          <w:bCs/>
          <w:spacing w:val="-8"/>
          <w:sz w:val="28"/>
          <w:szCs w:val="24"/>
        </w:rPr>
        <w:t xml:space="preserve"> </w:t>
      </w:r>
      <w:proofErr w:type="spellStart"/>
      <w:r w:rsidRPr="004241FF">
        <w:rPr>
          <w:b/>
          <w:bCs/>
          <w:sz w:val="28"/>
          <w:szCs w:val="24"/>
        </w:rPr>
        <w:t>атындағы</w:t>
      </w:r>
      <w:proofErr w:type="spellEnd"/>
      <w:r w:rsidRPr="004241FF">
        <w:rPr>
          <w:b/>
          <w:bCs/>
          <w:spacing w:val="-3"/>
          <w:sz w:val="28"/>
          <w:szCs w:val="24"/>
        </w:rPr>
        <w:t xml:space="preserve"> </w:t>
      </w:r>
      <w:proofErr w:type="spellStart"/>
      <w:r w:rsidRPr="004241FF">
        <w:rPr>
          <w:b/>
          <w:bCs/>
          <w:sz w:val="28"/>
          <w:szCs w:val="24"/>
        </w:rPr>
        <w:t>Қазақ</w:t>
      </w:r>
      <w:proofErr w:type="spellEnd"/>
      <w:r w:rsidRPr="004241FF">
        <w:rPr>
          <w:b/>
          <w:bCs/>
          <w:spacing w:val="-7"/>
          <w:sz w:val="28"/>
          <w:szCs w:val="24"/>
        </w:rPr>
        <w:t xml:space="preserve"> </w:t>
      </w:r>
      <w:proofErr w:type="spellStart"/>
      <w:r w:rsidRPr="004241FF">
        <w:rPr>
          <w:b/>
          <w:bCs/>
          <w:sz w:val="28"/>
          <w:szCs w:val="24"/>
        </w:rPr>
        <w:t>ұлттық</w:t>
      </w:r>
      <w:proofErr w:type="spellEnd"/>
      <w:r w:rsidRPr="004241FF">
        <w:rPr>
          <w:b/>
          <w:bCs/>
          <w:spacing w:val="-5"/>
          <w:sz w:val="28"/>
          <w:szCs w:val="24"/>
        </w:rPr>
        <w:t xml:space="preserve"> </w:t>
      </w:r>
      <w:proofErr w:type="spellStart"/>
      <w:r w:rsidRPr="004241FF">
        <w:rPr>
          <w:b/>
          <w:bCs/>
          <w:sz w:val="28"/>
          <w:szCs w:val="24"/>
        </w:rPr>
        <w:t>педагогикалық</w:t>
      </w:r>
      <w:proofErr w:type="spellEnd"/>
      <w:r w:rsidRPr="004241FF">
        <w:rPr>
          <w:b/>
          <w:bCs/>
          <w:spacing w:val="-5"/>
          <w:sz w:val="28"/>
          <w:szCs w:val="24"/>
        </w:rPr>
        <w:t xml:space="preserve"> </w:t>
      </w:r>
      <w:proofErr w:type="spellStart"/>
      <w:r w:rsidRPr="004241FF">
        <w:rPr>
          <w:b/>
          <w:bCs/>
          <w:spacing w:val="-2"/>
          <w:sz w:val="28"/>
          <w:szCs w:val="24"/>
        </w:rPr>
        <w:t>университеті</w:t>
      </w:r>
      <w:proofErr w:type="spellEnd"/>
    </w:p>
    <w:p w14:paraId="0A541DE8" w14:textId="77777777" w:rsidR="004241FF" w:rsidRPr="004241FF" w:rsidRDefault="004241FF" w:rsidP="004241FF">
      <w:pPr>
        <w:pStyle w:val="af"/>
        <w:spacing w:before="186"/>
        <w:ind w:left="5"/>
        <w:jc w:val="center"/>
        <w:rPr>
          <w:spacing w:val="-2"/>
          <w:sz w:val="28"/>
          <w:szCs w:val="24"/>
          <w:lang w:val="ru-RU"/>
        </w:rPr>
      </w:pPr>
      <w:proofErr w:type="spellStart"/>
      <w:r w:rsidRPr="004241FF">
        <w:rPr>
          <w:b/>
          <w:bCs/>
          <w:sz w:val="28"/>
          <w:szCs w:val="24"/>
          <w:lang w:val="ru-RU"/>
        </w:rPr>
        <w:t>Ақпараттық</w:t>
      </w:r>
      <w:proofErr w:type="spellEnd"/>
      <w:r w:rsidRPr="004241FF">
        <w:rPr>
          <w:b/>
          <w:bCs/>
          <w:sz w:val="28"/>
          <w:szCs w:val="24"/>
          <w:lang w:val="ru-RU"/>
        </w:rPr>
        <w:t xml:space="preserve"> </w:t>
      </w:r>
      <w:proofErr w:type="spellStart"/>
      <w:r w:rsidRPr="004241FF">
        <w:rPr>
          <w:b/>
          <w:bCs/>
          <w:sz w:val="28"/>
          <w:szCs w:val="24"/>
          <w:lang w:val="ru-RU"/>
        </w:rPr>
        <w:t>технологиялар</w:t>
      </w:r>
      <w:proofErr w:type="spellEnd"/>
      <w:r w:rsidRPr="004241FF">
        <w:rPr>
          <w:b/>
          <w:bCs/>
          <w:sz w:val="28"/>
          <w:szCs w:val="24"/>
          <w:lang w:val="ru-RU"/>
        </w:rPr>
        <w:t xml:space="preserve"> </w:t>
      </w:r>
      <w:proofErr w:type="spellStart"/>
      <w:r w:rsidRPr="004241FF">
        <w:rPr>
          <w:b/>
          <w:bCs/>
          <w:sz w:val="28"/>
          <w:szCs w:val="24"/>
          <w:lang w:val="ru-RU"/>
        </w:rPr>
        <w:t>және</w:t>
      </w:r>
      <w:proofErr w:type="spellEnd"/>
      <w:r w:rsidRPr="004241FF">
        <w:rPr>
          <w:b/>
          <w:bCs/>
          <w:sz w:val="28"/>
          <w:szCs w:val="24"/>
          <w:lang w:val="ru-RU"/>
        </w:rPr>
        <w:t xml:space="preserve"> </w:t>
      </w:r>
      <w:proofErr w:type="spellStart"/>
      <w:r w:rsidRPr="004241FF">
        <w:rPr>
          <w:b/>
          <w:bCs/>
          <w:sz w:val="28"/>
          <w:szCs w:val="24"/>
          <w:lang w:val="ru-RU"/>
        </w:rPr>
        <w:t>жасанды</w:t>
      </w:r>
      <w:proofErr w:type="spellEnd"/>
      <w:r w:rsidRPr="004241FF">
        <w:rPr>
          <w:b/>
          <w:bCs/>
          <w:sz w:val="28"/>
          <w:szCs w:val="24"/>
          <w:lang w:val="ru-RU"/>
        </w:rPr>
        <w:t xml:space="preserve"> </w:t>
      </w:r>
      <w:proofErr w:type="spellStart"/>
      <w:r w:rsidRPr="004241FF">
        <w:rPr>
          <w:b/>
          <w:bCs/>
          <w:sz w:val="28"/>
          <w:szCs w:val="24"/>
          <w:lang w:val="ru-RU"/>
        </w:rPr>
        <w:t>интелект</w:t>
      </w:r>
      <w:proofErr w:type="spellEnd"/>
      <w:r w:rsidRPr="004241FF">
        <w:rPr>
          <w:b/>
          <w:bCs/>
          <w:sz w:val="28"/>
          <w:szCs w:val="24"/>
          <w:lang w:val="ru-RU"/>
        </w:rPr>
        <w:t xml:space="preserve"> </w:t>
      </w:r>
      <w:proofErr w:type="spellStart"/>
      <w:r w:rsidRPr="004241FF">
        <w:rPr>
          <w:b/>
          <w:bCs/>
          <w:sz w:val="28"/>
          <w:szCs w:val="24"/>
          <w:lang w:val="ru-RU"/>
        </w:rPr>
        <w:t>факультеті</w:t>
      </w:r>
      <w:proofErr w:type="spellEnd"/>
    </w:p>
    <w:p w14:paraId="580BFCB6" w14:textId="77777777" w:rsidR="004241FF" w:rsidRPr="004241FF" w:rsidRDefault="004241FF" w:rsidP="004241FF">
      <w:pPr>
        <w:pStyle w:val="af"/>
        <w:spacing w:before="186"/>
        <w:ind w:left="5"/>
        <w:jc w:val="center"/>
        <w:rPr>
          <w:spacing w:val="-2"/>
          <w:sz w:val="28"/>
          <w:szCs w:val="24"/>
          <w:lang w:val="ru-RU"/>
        </w:rPr>
      </w:pPr>
    </w:p>
    <w:p w14:paraId="5EEAAB21" w14:textId="77777777" w:rsidR="004241FF" w:rsidRPr="004241FF" w:rsidRDefault="004241FF" w:rsidP="004241FF">
      <w:pPr>
        <w:pStyle w:val="af"/>
        <w:spacing w:before="186"/>
        <w:ind w:left="5"/>
        <w:jc w:val="center"/>
        <w:rPr>
          <w:lang w:val="ru-RU"/>
        </w:rPr>
      </w:pPr>
    </w:p>
    <w:p w14:paraId="6BB40919" w14:textId="77777777" w:rsidR="004241FF" w:rsidRPr="004241FF" w:rsidRDefault="004241FF" w:rsidP="004241FF">
      <w:pPr>
        <w:pStyle w:val="af"/>
        <w:spacing w:before="173"/>
        <w:rPr>
          <w:b/>
          <w:sz w:val="20"/>
          <w:lang w:val="ru-RU"/>
        </w:rPr>
      </w:pPr>
    </w:p>
    <w:p w14:paraId="74CDE470" w14:textId="77777777" w:rsidR="004241FF" w:rsidRDefault="004241FF" w:rsidP="004241FF">
      <w:pPr>
        <w:pStyle w:val="af"/>
        <w:ind w:left="1078"/>
        <w:rPr>
          <w:b/>
          <w:sz w:val="20"/>
        </w:rPr>
      </w:pPr>
      <w:r>
        <w:rPr>
          <w:b/>
          <w:noProof/>
          <w:sz w:val="20"/>
        </w:rPr>
        <w:drawing>
          <wp:inline distT="0" distB="0" distL="0" distR="0" wp14:anchorId="68793C2E" wp14:editId="0E06ABD2">
            <wp:extent cx="4533900" cy="1847850"/>
            <wp:effectExtent l="0" t="0" r="0" b="0"/>
            <wp:docPr id="2" name="Image 2" descr="Казахский Национальный педагогический университет имени Аба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Казахский Национальный педагогический университет имени Абая"/>
                    <pic:cNvPicPr/>
                  </pic:nvPicPr>
                  <pic:blipFill>
                    <a:blip r:embed="rId8" cstate="print"/>
                    <a:stretch>
                      <a:fillRect/>
                    </a:stretch>
                  </pic:blipFill>
                  <pic:spPr>
                    <a:xfrm>
                      <a:off x="0" y="0"/>
                      <a:ext cx="4533900" cy="1847850"/>
                    </a:xfrm>
                    <a:prstGeom prst="rect">
                      <a:avLst/>
                    </a:prstGeom>
                  </pic:spPr>
                </pic:pic>
              </a:graphicData>
            </a:graphic>
          </wp:inline>
        </w:drawing>
      </w:r>
    </w:p>
    <w:p w14:paraId="19C18D4F" w14:textId="77777777" w:rsidR="004241FF" w:rsidRPr="004241FF" w:rsidRDefault="004241FF" w:rsidP="004241FF">
      <w:pPr>
        <w:pStyle w:val="aa"/>
        <w:jc w:val="center"/>
        <w:rPr>
          <w:rFonts w:ascii="Times New Roman" w:hAnsi="Times New Roman" w:cs="Times New Roman"/>
          <w:b/>
          <w:bCs/>
          <w:sz w:val="144"/>
          <w:szCs w:val="144"/>
        </w:rPr>
      </w:pPr>
      <w:r>
        <w:rPr>
          <w:rFonts w:ascii="Times New Roman" w:hAnsi="Times New Roman" w:cs="Times New Roman"/>
          <w:b/>
          <w:bCs/>
          <w:spacing w:val="-2"/>
          <w:sz w:val="144"/>
          <w:szCs w:val="144"/>
        </w:rPr>
        <w:t>БӨЖ2</w:t>
      </w:r>
    </w:p>
    <w:p w14:paraId="3156C37A" w14:textId="77777777" w:rsidR="004241FF" w:rsidRPr="004241FF" w:rsidRDefault="004241FF" w:rsidP="004241FF">
      <w:pPr>
        <w:pStyle w:val="af"/>
        <w:spacing w:before="295"/>
        <w:ind w:right="144"/>
        <w:jc w:val="center"/>
        <w:rPr>
          <w:b/>
          <w:bCs/>
          <w:sz w:val="28"/>
          <w:szCs w:val="24"/>
        </w:rPr>
      </w:pPr>
      <w:r>
        <w:rPr>
          <w:b/>
          <w:bCs/>
          <w:sz w:val="28"/>
          <w:szCs w:val="24"/>
        </w:rPr>
        <w:t>Пәні: Инклюзивті білім беру ортасы</w:t>
      </w:r>
    </w:p>
    <w:p w14:paraId="6895E680" w14:textId="77777777" w:rsidR="004241FF" w:rsidRPr="004241FF" w:rsidRDefault="004241FF" w:rsidP="004241FF">
      <w:pPr>
        <w:pStyle w:val="af"/>
        <w:spacing w:before="187" w:line="259" w:lineRule="auto"/>
        <w:ind w:right="142"/>
        <w:jc w:val="center"/>
        <w:rPr>
          <w:b/>
          <w:sz w:val="28"/>
          <w:szCs w:val="24"/>
        </w:rPr>
      </w:pPr>
      <w:r>
        <w:rPr>
          <w:b/>
          <w:bCs/>
          <w:sz w:val="28"/>
          <w:szCs w:val="24"/>
        </w:rPr>
        <w:t>Тақырыбы: Отандық және халықаралық нормативтік құжаттарға аннотациялар</w:t>
      </w:r>
    </w:p>
    <w:p w14:paraId="59B8ABC4" w14:textId="77777777" w:rsidR="004241FF" w:rsidRDefault="004241FF" w:rsidP="004241FF">
      <w:pPr>
        <w:pStyle w:val="af"/>
        <w:rPr>
          <w:b/>
        </w:rPr>
      </w:pPr>
    </w:p>
    <w:p w14:paraId="5964F2C9" w14:textId="77777777" w:rsidR="004241FF" w:rsidRDefault="004241FF" w:rsidP="004241FF">
      <w:pPr>
        <w:pStyle w:val="af"/>
        <w:spacing w:before="146"/>
        <w:rPr>
          <w:b/>
          <w:lang w:val="kk-KZ"/>
        </w:rPr>
      </w:pPr>
    </w:p>
    <w:p w14:paraId="2E123A1C" w14:textId="77777777" w:rsidR="004241FF" w:rsidRPr="004241FF" w:rsidRDefault="004241FF" w:rsidP="004241FF">
      <w:pPr>
        <w:pStyle w:val="af"/>
        <w:spacing w:before="146"/>
        <w:rPr>
          <w:b/>
          <w:lang w:val="kk-KZ"/>
        </w:rPr>
      </w:pPr>
    </w:p>
    <w:p w14:paraId="10C2F572" w14:textId="77777777" w:rsidR="004241FF" w:rsidRPr="00AA0E09" w:rsidRDefault="004241FF" w:rsidP="004241FF">
      <w:pPr>
        <w:spacing w:line="379" w:lineRule="auto"/>
        <w:ind w:left="5806" w:firstLine="39"/>
        <w:rPr>
          <w:b/>
          <w:i/>
          <w:sz w:val="28"/>
          <w:lang w:val="kk-KZ"/>
        </w:rPr>
      </w:pPr>
      <w:r>
        <w:rPr>
          <w:b/>
          <w:i/>
          <w:sz w:val="28"/>
          <w:lang w:val="kk-KZ"/>
          <w:spacing w:val="-8"/>
        </w:rPr>
        <w:t>Орындаған: Биарстанов Д.А.</w:t>
        <w:br/>
        <w:t>Тексерген: Жаканбаева Б.Б.</w:t>
      </w:r>
    </w:p>
    <w:p w14:paraId="32AA8873" w14:textId="77777777" w:rsidR="004241FF" w:rsidRPr="0031756A" w:rsidRDefault="004241FF" w:rsidP="004241FF">
      <w:pPr>
        <w:pStyle w:val="af"/>
        <w:spacing w:before="181"/>
        <w:rPr>
          <w:i/>
          <w:lang w:val="kk-KZ"/>
        </w:rPr>
      </w:pPr>
    </w:p>
    <w:p w14:paraId="42AFAC7E" w14:textId="77777777" w:rsidR="004241FF" w:rsidRDefault="004241FF" w:rsidP="004241FF">
      <w:pPr>
        <w:ind w:left="5" w:right="142"/>
        <w:jc w:val="center"/>
        <w:rPr>
          <w:b/>
          <w:i/>
          <w:spacing w:val="-2"/>
          <w:sz w:val="28"/>
        </w:rPr>
      </w:pPr>
      <w:proofErr w:type="spellStart"/>
      <w:r>
        <w:rPr>
          <w:b/>
          <w:i/>
          <w:sz w:val="28"/>
        </w:rPr>
        <w:t>Алматы</w:t>
      </w:r>
      <w:proofErr w:type="spellEnd"/>
      <w:r>
        <w:rPr>
          <w:b/>
          <w:i/>
          <w:spacing w:val="2"/>
          <w:sz w:val="28"/>
        </w:rPr>
        <w:t xml:space="preserve"> </w:t>
      </w:r>
      <w:r>
        <w:rPr>
          <w:b/>
          <w:i/>
          <w:spacing w:val="-2"/>
          <w:sz w:val="28"/>
        </w:rPr>
        <w:t>2026ж</w:t>
      </w:r>
    </w:p>
    <w:sdt>
      <w:sdtPr>
        <w:rPr>
          <w:rFonts w:eastAsiaTheme="minorEastAsia" w:cstheme="minorBidi"/>
          <w:b w:val="0"/>
          <w:bCs w:val="0"/>
          <w:color w:val="222222"/>
          <w:sz w:val="24"/>
          <w:szCs w:val="22"/>
          <w:lang w:val="ru-RU"/>
        </w:rPr>
        <w:id w:val="1577784382"/>
        <w:docPartObj>
          <w:docPartGallery w:val="Table of Contents"/>
          <w:docPartUnique/>
        </w:docPartObj>
      </w:sdtPr>
      <w:sdtEndPr>
        <w:rPr>
          <w:lang w:val="en-US"/>
        </w:rPr>
      </w:sdtEndPr>
      <w:sdtContent>
        <w:p w14:paraId="4FA11B11" w14:textId="397A0326" w:rsidR="004241FF" w:rsidRPr="00C217BF" w:rsidRDefault="00C217BF">
          <w:pPr>
            <w:pStyle w:val="aff"/>
            <w:rPr>
              <w:lang w:val="kk-KZ"/>
            </w:rPr>
            <w:pageBreakBefore w:val="1"/>
          </w:pPr>
          <w:r>
            <w:rPr>
              <w:lang w:val="kk-KZ"/>
            </w:rPr>
            <w:t>МАЗМҰНЫ</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Құжаттарды қарастыру тәртібі</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Отандық құжаттар тізімі</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Отандық құжаттарға аннотациялар</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Халықаралық құжаттар тізімі</w:t>
            <w:tab/>
            <w:t>5</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Халықаралық құжаттарға аннотациялар</w:t>
            <w:tab/>
            <w:t>6</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Қорытынды</w:t>
            <w:tab/>
            <w:t>7</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Пайдаланылған әдебиеттер</w:t>
            <w:tab/>
            <w:t>7</w:t>
          </w:r>
        </w:p>
      </w:sdtContent>
    </w:sdt>
    <w:p>
      <w:pPr>
        <w:pStyle w:val="1"/>
        <w:pageBreakBefore/>
      </w:pPr>
      <w:r>
        <w:t>Құжаттарды қарастыру тәртібі</w:t>
      </w:r>
    </w:p>
    <w:p>
      <w:pPr>
        <w:pStyle w:val="af"/>
        <w:spacing w:line="276" w:lineRule="auto" w:after="120"/>
        <w:ind w:firstLine="720"/>
        <w:jc w:val="both"/>
      </w:pPr>
      <w:r>
        <w:rPr>
          <w:lang w:val="kk-KZ"/>
        </w:rPr>
        <w:t>Инклюзивті білім беру ортасын ұйымдастыруға қатысты алты отандық және төрт халықаралық құжатқа аннотация берілді. Силлабуста көрсетілген special-edu.kz ресурсы әдістемелік бағыт ретінде ескерілді; құқықтық мәртебе мен ресми мәтін Әділет жүйесі және халықаралық ұйымдардың бастапқы жарияланымдары бойынша тексерілді. Тексеру күні: 02.10.2026. Заң, ведомстволық қағида, халықаралық шарт және ұсынымдық декларация бірдей құқықтық күшке ие емес.</w:t>
      </w:r>
    </w:p>
    <w:p>
      <w:pPr>
        <w:pStyle w:val="1"/>
      </w:pPr>
      <w:r>
        <w:t>Отандық құжаттар тізімі</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504"/>
        <w:gridCol w:w="5155"/>
        <w:gridCol w:w="3744"/>
      </w:tblGrid>
      <w:tr>
        <w:trPr>
          <w:tblHeader/>
        </w:trPr>
        <w:tc>
          <w:tcPr>
            <w:tcW w:type="dxa" w:w="504"/>
            <w:vAlign w:val="center"/>
            <w:shd w:fill="EEEEEE"/>
          </w:tcPr>
          <w:p>
            <w:pPr>
              <w:spacing w:after="60" w:before="60" w:line="240" w:lineRule="auto"/>
            </w:pPr>
            <w:r>
              <w:rPr>
                <w:rFonts w:ascii="Times New Roman" w:hAnsi="Times New Roman"/>
                <w:b/>
                <w:sz w:val="22"/>
              </w:rPr>
              <w:t>№</w:t>
            </w:r>
          </w:p>
        </w:tc>
        <w:tc>
          <w:tcPr>
            <w:tcW w:type="dxa" w:w="5155"/>
            <w:vAlign w:val="center"/>
            <w:shd w:fill="EEEEEE"/>
          </w:tcPr>
          <w:p>
            <w:pPr>
              <w:spacing w:after="60" w:before="60" w:line="240" w:lineRule="auto"/>
            </w:pPr>
            <w:r>
              <w:rPr>
                <w:rFonts w:ascii="Times New Roman" w:hAnsi="Times New Roman"/>
                <w:b/>
                <w:sz w:val="22"/>
              </w:rPr>
              <w:t>Құжат</w:t>
            </w:r>
          </w:p>
        </w:tc>
        <w:tc>
          <w:tcPr>
            <w:tcW w:type="dxa" w:w="3744"/>
            <w:vAlign w:val="center"/>
            <w:shd w:fill="EEEEEE"/>
          </w:tcPr>
          <w:p>
            <w:pPr>
              <w:spacing w:after="60" w:before="60" w:line="240" w:lineRule="auto"/>
            </w:pPr>
            <w:r>
              <w:rPr>
                <w:rFonts w:ascii="Times New Roman" w:hAnsi="Times New Roman"/>
                <w:b/>
                <w:sz w:val="22"/>
              </w:rPr>
              <w:t>Күні және нөмірі</w:t>
            </w:r>
          </w:p>
        </w:tc>
      </w:tr>
      <w:tr>
        <w:tc>
          <w:tcPr>
            <w:tcW w:type="dxa" w:w="504"/>
            <w:vAlign w:val="center"/>
          </w:tcPr>
          <w:p>
            <w:pPr>
              <w:spacing w:after="60" w:before="60" w:line="240" w:lineRule="auto"/>
            </w:pPr>
            <w:r>
              <w:rPr>
                <w:rFonts w:ascii="Times New Roman" w:hAnsi="Times New Roman"/>
                <w:b w:val="0"/>
                <w:sz w:val="22"/>
              </w:rPr>
              <w:t>1</w:t>
            </w:r>
          </w:p>
        </w:tc>
        <w:tc>
          <w:tcPr>
            <w:tcW w:type="dxa" w:w="5155"/>
            <w:vAlign w:val="center"/>
          </w:tcPr>
          <w:p>
            <w:pPr>
              <w:spacing w:after="60" w:before="60" w:line="240" w:lineRule="auto"/>
            </w:pPr>
            <w:r>
              <w:rPr>
                <w:rFonts w:ascii="Times New Roman" w:hAnsi="Times New Roman"/>
                <w:b w:val="0"/>
                <w:sz w:val="22"/>
              </w:rPr>
              <w:t>Білім туралы</w:t>
            </w:r>
          </w:p>
        </w:tc>
        <w:tc>
          <w:tcPr>
            <w:tcW w:type="dxa" w:w="3744"/>
            <w:vAlign w:val="center"/>
          </w:tcPr>
          <w:p>
            <w:pPr>
              <w:spacing w:after="60" w:before="60" w:line="240" w:lineRule="auto"/>
            </w:pPr>
            <w:r>
              <w:rPr>
                <w:rFonts w:ascii="Times New Roman" w:hAnsi="Times New Roman"/>
                <w:b w:val="0"/>
                <w:sz w:val="22"/>
              </w:rPr>
              <w:t>ҚР 27.07.2007 №319 Заңы</w:t>
            </w:r>
          </w:p>
        </w:tc>
      </w:tr>
      <w:tr>
        <w:tc>
          <w:tcPr>
            <w:tcW w:type="dxa" w:w="504"/>
            <w:vAlign w:val="center"/>
          </w:tcPr>
          <w:p>
            <w:pPr>
              <w:spacing w:after="60" w:before="60" w:line="240" w:lineRule="auto"/>
            </w:pPr>
            <w:r>
              <w:rPr>
                <w:rFonts w:ascii="Times New Roman" w:hAnsi="Times New Roman"/>
                <w:b w:val="0"/>
                <w:sz w:val="22"/>
              </w:rPr>
              <w:t>2</w:t>
            </w:r>
          </w:p>
        </w:tc>
        <w:tc>
          <w:tcPr>
            <w:tcW w:type="dxa" w:w="5155"/>
            <w:vAlign w:val="center"/>
          </w:tcPr>
          <w:p>
            <w:pPr>
              <w:spacing w:after="60" w:before="60" w:line="240" w:lineRule="auto"/>
            </w:pPr>
            <w:r>
              <w:rPr>
                <w:rFonts w:ascii="Times New Roman" w:hAnsi="Times New Roman"/>
                <w:b w:val="0"/>
                <w:sz w:val="22"/>
              </w:rPr>
              <w:t>Қазақстан Республикасының кейбір заңнамалық актілеріне инклюзивті білім беру мәселелері бойынша өзгерістер мен толықтырулар енгізу туралы</w:t>
            </w:r>
          </w:p>
        </w:tc>
        <w:tc>
          <w:tcPr>
            <w:tcW w:type="dxa" w:w="3744"/>
            <w:vAlign w:val="center"/>
          </w:tcPr>
          <w:p>
            <w:pPr>
              <w:spacing w:after="60" w:before="60" w:line="240" w:lineRule="auto"/>
            </w:pPr>
            <w:r>
              <w:rPr>
                <w:rFonts w:ascii="Times New Roman" w:hAnsi="Times New Roman"/>
                <w:b w:val="0"/>
                <w:sz w:val="22"/>
              </w:rPr>
              <w:t>ҚР 26.06.2021 №56-VII ҚРЗ Заңы</w:t>
            </w:r>
          </w:p>
        </w:tc>
      </w:tr>
      <w:tr>
        <w:tc>
          <w:tcPr>
            <w:tcW w:type="dxa" w:w="504"/>
            <w:vAlign w:val="center"/>
          </w:tcPr>
          <w:p>
            <w:pPr>
              <w:spacing w:after="60" w:before="60" w:line="240" w:lineRule="auto"/>
            </w:pPr>
            <w:r>
              <w:rPr>
                <w:rFonts w:ascii="Times New Roman" w:hAnsi="Times New Roman"/>
                <w:b w:val="0"/>
                <w:sz w:val="22"/>
              </w:rPr>
              <w:t>3</w:t>
            </w:r>
          </w:p>
        </w:tc>
        <w:tc>
          <w:tcPr>
            <w:tcW w:type="dxa" w:w="5155"/>
            <w:vAlign w:val="center"/>
          </w:tcPr>
          <w:p>
            <w:pPr>
              <w:spacing w:after="60" w:before="60" w:line="240" w:lineRule="auto"/>
            </w:pPr>
            <w:r>
              <w:rPr>
                <w:rFonts w:ascii="Times New Roman" w:hAnsi="Times New Roman"/>
                <w:b w:val="0"/>
                <w:sz w:val="22"/>
              </w:rPr>
              <w:t>Ерекше білім беру қажеттіліктерін бағалау қағидаларын және бағдарламаларын бекіту туралы</w:t>
            </w:r>
          </w:p>
        </w:tc>
        <w:tc>
          <w:tcPr>
            <w:tcW w:type="dxa" w:w="3744"/>
            <w:vAlign w:val="center"/>
          </w:tcPr>
          <w:p>
            <w:pPr>
              <w:spacing w:after="60" w:before="60" w:line="240" w:lineRule="auto"/>
            </w:pPr>
            <w:r>
              <w:rPr>
                <w:rFonts w:ascii="Times New Roman" w:hAnsi="Times New Roman"/>
                <w:b w:val="0"/>
                <w:sz w:val="22"/>
              </w:rPr>
              <w:t>ҚР Білім және ғылым министрінің 12.01.2022 №4 бұйрығы; тіркеу №26618</w:t>
            </w:r>
          </w:p>
        </w:tc>
      </w:tr>
      <w:tr>
        <w:tc>
          <w:tcPr>
            <w:tcW w:type="dxa" w:w="504"/>
            <w:vAlign w:val="center"/>
          </w:tcPr>
          <w:p>
            <w:pPr>
              <w:spacing w:after="60" w:before="60" w:line="240" w:lineRule="auto"/>
            </w:pPr>
            <w:r>
              <w:rPr>
                <w:rFonts w:ascii="Times New Roman" w:hAnsi="Times New Roman"/>
                <w:b w:val="0"/>
                <w:sz w:val="22"/>
              </w:rPr>
              <w:t>4</w:t>
            </w:r>
          </w:p>
        </w:tc>
        <w:tc>
          <w:tcPr>
            <w:tcW w:type="dxa" w:w="5155"/>
            <w:vAlign w:val="center"/>
          </w:tcPr>
          <w:p>
            <w:pPr>
              <w:spacing w:after="60" w:before="60" w:line="240" w:lineRule="auto"/>
            </w:pPr>
            <w:r>
              <w:rPr>
                <w:rFonts w:ascii="Times New Roman" w:hAnsi="Times New Roman"/>
                <w:b w:val="0"/>
                <w:sz w:val="22"/>
              </w:rPr>
              <w:t>Білім беру ұйымдарындағы психологиялық-педагогикалық қолдау қызметінің жұмыс істеу қағидаларын бекіту туралы</w:t>
            </w:r>
          </w:p>
        </w:tc>
        <w:tc>
          <w:tcPr>
            <w:tcW w:type="dxa" w:w="3744"/>
            <w:vAlign w:val="center"/>
          </w:tcPr>
          <w:p>
            <w:pPr>
              <w:spacing w:after="60" w:before="60" w:line="240" w:lineRule="auto"/>
            </w:pPr>
            <w:r>
              <w:rPr>
                <w:rFonts w:ascii="Times New Roman" w:hAnsi="Times New Roman"/>
                <w:b w:val="0"/>
                <w:sz w:val="22"/>
              </w:rPr>
              <w:t>ҚР Оқу-ағарту министрінің 29.04.2025 №92 бұйрығы; тіркеу №36047</w:t>
            </w:r>
          </w:p>
        </w:tc>
      </w:tr>
      <w:tr>
        <w:tc>
          <w:tcPr>
            <w:tcW w:type="dxa" w:w="504"/>
            <w:vAlign w:val="center"/>
          </w:tcPr>
          <w:p>
            <w:pPr>
              <w:spacing w:after="60" w:before="60" w:line="240" w:lineRule="auto"/>
            </w:pPr>
            <w:r>
              <w:rPr>
                <w:rFonts w:ascii="Times New Roman" w:hAnsi="Times New Roman"/>
                <w:b w:val="0"/>
                <w:sz w:val="22"/>
              </w:rPr>
              <w:t>5</w:t>
            </w:r>
          </w:p>
        </w:tc>
        <w:tc>
          <w:tcPr>
            <w:tcW w:type="dxa" w:w="5155"/>
            <w:vAlign w:val="center"/>
          </w:tcPr>
          <w:p>
            <w:pPr>
              <w:spacing w:after="60" w:before="60" w:line="240" w:lineRule="auto"/>
            </w:pPr>
            <w:r>
              <w:rPr>
                <w:rFonts w:ascii="Times New Roman" w:hAnsi="Times New Roman"/>
                <w:b w:val="0"/>
                <w:sz w:val="22"/>
              </w:rPr>
              <w:t>Жоғары және жоғары оқу орнынан кейінгі білім беру ұйымдарын қоспағанда, тиісті типтердегі және түрлердегі білім беру ұйымдары қызметінің үлгілік қағидаларын бекіту туралы</w:t>
            </w:r>
          </w:p>
        </w:tc>
        <w:tc>
          <w:tcPr>
            <w:tcW w:type="dxa" w:w="3744"/>
            <w:vAlign w:val="center"/>
          </w:tcPr>
          <w:p>
            <w:pPr>
              <w:spacing w:after="60" w:before="60" w:line="240" w:lineRule="auto"/>
            </w:pPr>
            <w:r>
              <w:rPr>
                <w:rFonts w:ascii="Times New Roman" w:hAnsi="Times New Roman"/>
                <w:b w:val="0"/>
                <w:sz w:val="22"/>
              </w:rPr>
              <w:t>ҚР Оқу-ағарту министрінің 31.08.2022 №385 бұйрығы; тіркеу №29329</w:t>
            </w:r>
          </w:p>
        </w:tc>
      </w:tr>
      <w:tr>
        <w:tc>
          <w:tcPr>
            <w:tcW w:type="dxa" w:w="504"/>
            <w:vAlign w:val="center"/>
          </w:tcPr>
          <w:p>
            <w:pPr>
              <w:spacing w:after="60" w:before="60" w:line="240" w:lineRule="auto"/>
            </w:pPr>
            <w:r>
              <w:rPr>
                <w:rFonts w:ascii="Times New Roman" w:hAnsi="Times New Roman"/>
                <w:b w:val="0"/>
                <w:sz w:val="22"/>
              </w:rPr>
              <w:t>6</w:t>
            </w:r>
          </w:p>
        </w:tc>
        <w:tc>
          <w:tcPr>
            <w:tcW w:type="dxa" w:w="5155"/>
            <w:vAlign w:val="center"/>
          </w:tcPr>
          <w:p>
            <w:pPr>
              <w:spacing w:after="60" w:before="60" w:line="240" w:lineRule="auto"/>
            </w:pPr>
            <w:r>
              <w:rPr>
                <w:rFonts w:ascii="Times New Roman" w:hAnsi="Times New Roman"/>
                <w:b w:val="0"/>
                <w:sz w:val="22"/>
              </w:rPr>
              <w:t>Мүгедектердің құқықтары туралы конвенцияны ратификациялау туралы</w:t>
            </w:r>
          </w:p>
        </w:tc>
        <w:tc>
          <w:tcPr>
            <w:tcW w:type="dxa" w:w="3744"/>
            <w:vAlign w:val="center"/>
          </w:tcPr>
          <w:p>
            <w:pPr>
              <w:spacing w:after="60" w:before="60" w:line="240" w:lineRule="auto"/>
            </w:pPr>
            <w:r>
              <w:rPr>
                <w:rFonts w:ascii="Times New Roman" w:hAnsi="Times New Roman"/>
                <w:b w:val="0"/>
                <w:sz w:val="22"/>
              </w:rPr>
              <w:t>ҚР 20.02.2015 №288-V ҚРЗ Заңы</w:t>
            </w:r>
          </w:p>
        </w:tc>
      </w:tr>
    </w:tbl>
    <w:p>
      <w:pPr>
        <w:pStyle w:val="1"/>
      </w:pPr>
      <w:r>
        <w:t>Отандық құжаттарға аннотациялар</w:t>
      </w:r>
    </w:p>
    <w:p>
      <w:pPr>
        <w:pStyle w:val="21"/>
      </w:pPr>
      <w:r>
        <w:t>1 Білім туралы</w:t>
      </w:r>
    </w:p>
    <w:p>
      <w:pPr>
        <w:pStyle w:val="af"/>
        <w:spacing w:line="276" w:lineRule="auto" w:after="120"/>
        <w:ind w:firstLine="720"/>
        <w:jc w:val="both"/>
      </w:pPr>
      <w:r>
        <w:rPr>
          <w:lang w:val="kk-KZ"/>
        </w:rPr>
        <w:t>Заң білім беру жүйесінің жалпы құқықтық негізін белгілейді. Инклюзивті білім беру, ерекше білім беру қажеттілігі және білім алу үшін арнаулы жағдайлар ұғымдары білім алушының қолдау алуын түсіндіруге мүмкіндік береді. Құжатты мектептің ішкі тәртібі мен жеке қолдау жоспарын әзірлегенде бастапқы құқықтық негіз ретінде қолдануға болады. Оның маңызы — қажетті жағдай жасау жауапкершілігін тек отбасыға жүктемей, білім беру жүйесінің міндетімен байланыстыру. Мұғалім нақты жағдайға қатысты шешім қабылдағанда заңның қолданыстағы редакциясын және оны іске асыратын қағидаларды бірге қарастырады. Мәртебесі: жаңартылған заң.</w:t>
      </w:r>
    </w:p>
    <w:p>
      <w:pPr>
        <w:spacing w:after="120"/>
        <w:jc w:val="left"/>
      </w:pPr>
      <w:r>
        <w:rPr>
          <w:sz w:val="22"/>
        </w:rPr>
        <w:t>ҚР 27.07.2007 №319 Заңы. URL: https://old.adilet.zan.kz/kaz/docs/Z070000319_</w:t>
      </w:r>
    </w:p>
    <w:p>
      <w:pPr>
        <w:pStyle w:val="21"/>
      </w:pPr>
      <w:r>
        <w:t>2 Қазақстан Республикасының кейбір заңнамалық актілеріне инклюзивті білім беру мәселелері бойынша өзгерістер мен толықтырулар енгізу туралы</w:t>
      </w:r>
    </w:p>
    <w:p>
      <w:pPr>
        <w:pStyle w:val="af"/>
        <w:spacing w:line="276" w:lineRule="auto" w:after="120"/>
        <w:ind w:firstLine="720"/>
        <w:jc w:val="both"/>
      </w:pPr>
      <w:r>
        <w:rPr>
          <w:lang w:val="kk-KZ"/>
        </w:rPr>
        <w:t>Құжат білім беру мен балаларды қолдау саласындағы бірқатар заңдарға өзгеріс енгізді. Арнаулы жағдайлар, ЕБҚ бағалау және психологиялық-педагогикалық қолдау жөніндегі ұғымдарды нақтылау инклюзияны ұйымдастыру үшін маңызды болды. ПМПК қызметі білім беру қажеттіліктері мен қажетті жағдайларды бағалаумен байланыстырылды. Аннотацияның негізгі түйіні — 2021 жылғы өзгеріс баланың білім алу жағдайын анықтауды құқықтық міндет деңгейінде нақтылады. Бұл өзгерістер енгізетін заң болғандықтан, бүгінгі практикалық шешімде оның бастапқы мәтінін ғана емес, өзгертілген негізгі заңдардың қазіргі редакциясын қолдану қажет. Мәртебесі: өзгерістер енгізген заң; тарихи құқықтық кезеңді түсіндіру үшін қолданылады.</w:t>
      </w:r>
    </w:p>
    <w:p>
      <w:pPr>
        <w:spacing w:after="120"/>
        <w:jc w:val="left"/>
      </w:pPr>
      <w:r>
        <w:rPr>
          <w:sz w:val="22"/>
        </w:rPr>
        <w:t>ҚР 26.06.2021 №56-VII ҚРЗ Заңы. URL: https://old.adilet.zan.kz/kaz/docs/Z2100000056</w:t>
      </w:r>
    </w:p>
    <w:p>
      <w:pPr>
        <w:pStyle w:val="21"/>
      </w:pPr>
      <w:r>
        <w:t>3 Ерекше білім беру қажеттіліктерін бағалау қағидаларын және бағдарламаларын бекіту туралы</w:t>
      </w:r>
    </w:p>
    <w:p>
      <w:pPr>
        <w:pStyle w:val="af"/>
        <w:spacing w:line="276" w:lineRule="auto" w:after="120"/>
        <w:ind w:firstLine="720"/>
        <w:jc w:val="both"/>
      </w:pPr>
      <w:r>
        <w:rPr>
          <w:lang w:val="kk-KZ"/>
        </w:rPr>
        <w:t>Бұйрық ЕБҚ бағалаудың тәртібін және бағалау бағдарламаларын белгілейді. Мұғалімнің оқу әрекетін бақылауы, қолдау қызметінің ата-ана келісімімен терең бағалауы және ПМПК бағалауы өзара байланысты деңгейлер ретінде қарастырылады. Бағалау мақсаты — баланың білім алуына қажетті арнаулы жағдайларды анықтау. Мектеп үшін бұл құжат оқу қиындығын байқаудан нақты қолдау таңдауға өтудің негізін береді. Қолдау түрі тек диагнозға қарай емес, оқудағы нақты қажеттілікке сүйеніп жоспарланады. Мәртебесі: жаңартылған бұйрық. 06.05.2025 №104 өзгерісімен атауы жаңартылып, бағалау бағдарламалары енгізілген; аннотация қолданыстағы мәтінге негізделді.</w:t>
      </w:r>
    </w:p>
    <w:p>
      <w:pPr>
        <w:spacing w:after="120"/>
        <w:jc w:val="left"/>
      </w:pPr>
      <w:r>
        <w:rPr>
          <w:sz w:val="22"/>
        </w:rPr>
        <w:t>ҚР Білім және ғылым министрінің 12.01.2022 №4 бұйрығы; тіркеу №26618. URL: https://old.adilet.zan.kz/kaz/docs/V2200026618/compare</w:t>
      </w:r>
    </w:p>
    <w:p>
      <w:pPr>
        <w:pStyle w:val="21"/>
      </w:pPr>
      <w:r>
        <w:t>4 Білім беру ұйымдарындағы психологиялық-педагогикалық қолдау қызметінің жұмыс істеу қағидаларын бекіту туралы</w:t>
      </w:r>
    </w:p>
    <w:p>
      <w:pPr>
        <w:pStyle w:val="af"/>
        <w:spacing w:line="276" w:lineRule="auto" w:after="120"/>
        <w:ind w:firstLine="720"/>
        <w:jc w:val="both"/>
      </w:pPr>
      <w:r>
        <w:rPr>
          <w:lang w:val="kk-KZ"/>
        </w:rPr>
        <w:t>Қағидалар білім беру ұйымындағы ППҚҚ қызметінің тәртібін анықтайды. Қызмет білім алушының әл-ауқатын, дамуын және оқуға қатысуын қолдауға бағытталған алқалы орган ретінде сипатталады. Оның құрамына басшылардың орынбасарлары мен тиісті педагогикалық мамандар кіреді; қолдау білім беру деңгейінің міндеттерімен байланысады. Құжат мектептегі мамандар әрекетін ортақ жоспарға біріктіруге және жауапкершілікті нақтылауға пайдалы. Аннотацияда ППҚҚ мектеп қызметі, ал ПМПК бөлек консультациялық ұйым екені ажыратылады. Мәртебесі: жаңартылған бұйрық. Қағидалар 29.05.2026 №144-НҚ бұйрығымен жаңа редакцияда берілген; бұрынғы қолдау қағидаларын қазіргі құжаттың орнына қолдануға болмайды.</w:t>
      </w:r>
    </w:p>
    <w:p>
      <w:pPr>
        <w:spacing w:after="120"/>
        <w:jc w:val="left"/>
      </w:pPr>
      <w:r>
        <w:rPr>
          <w:sz w:val="22"/>
        </w:rPr>
        <w:t>ҚР Оқу-ағарту министрінің 29.04.2025 №92 бұйрығы; тіркеу №36047. URL: https://old.adilet.zan.kz/kaz/docs/V2500036047</w:t>
      </w:r>
    </w:p>
    <w:p>
      <w:pPr>
        <w:pStyle w:val="21"/>
      </w:pPr>
      <w:r>
        <w:t>5 Жоғары және жоғары оқу орнынан кейінгі білім беру ұйымдарын қоспағанда, тиісті типтердегі және түрлердегі білім беру ұйымдары қызметінің үлгілік қағидаларын бекіту туралы</w:t>
      </w:r>
    </w:p>
    <w:p>
      <w:pPr>
        <w:pStyle w:val="af"/>
        <w:spacing w:line="276" w:lineRule="auto" w:after="120"/>
        <w:ind w:firstLine="720"/>
        <w:jc w:val="both"/>
      </w:pPr>
      <w:r>
        <w:rPr>
          <w:lang w:val="kk-KZ"/>
        </w:rPr>
        <w:t>Бұл құжат әртүрлі білім беру ұйымдарының қызмет тәртібін бекітеді. Инклюзивті ортаға қатысты орта білім ұйымдарының және арнайы білім беру ұйымдарының қағидалары ерекше маңызды. Арнайы ұйымдар бөлімінде ПМПК-ның бағалау, консультация және тиісті қолдау жөніндегі ұсыным беру қызметін қарастыруға болады. Мектепке дейінгі ұйымдар үшін баланың дамуына, қауіпсіздігіне және ата-анамен жұмысқа қатысты міндеттер беріледі. Практикалық маңызы — қолдау жүйесіндегі әр ұйымның қызметін ажырату және баланың білім алу бағытын келісу. Мәртебесі: жаңартылған бұйрық. Әртүрлі қосымшалардың өзгеру күні бөлек болуы мүмкін; аннотацияда актінің жалпы қызметі сипатталды.</w:t>
      </w:r>
    </w:p>
    <w:p>
      <w:pPr>
        <w:spacing w:after="120"/>
        <w:jc w:val="left"/>
      </w:pPr>
      <w:r>
        <w:rPr>
          <w:sz w:val="22"/>
        </w:rPr>
        <w:t>ҚР Оқу-ағарту министрінің 31.08.2022 №385 бұйрығы; тіркеу №29329. URL: https://old.adilet.zan.kz/kaz/docs/V2200029329/compare</w:t>
      </w:r>
    </w:p>
    <w:p>
      <w:pPr>
        <w:pStyle w:val="21"/>
      </w:pPr>
      <w:r>
        <w:t>6 Мүгедектердің құқықтары туралы конвенцияны ратификациялау туралы</w:t>
      </w:r>
    </w:p>
    <w:p>
      <w:pPr>
        <w:pStyle w:val="af"/>
        <w:spacing w:line="276" w:lineRule="auto" w:after="120"/>
        <w:ind w:firstLine="720"/>
        <w:jc w:val="both"/>
      </w:pPr>
      <w:r>
        <w:rPr>
          <w:lang w:val="kk-KZ"/>
        </w:rPr>
        <w:t>Заң Қазақстанның БҰҰ Бас Ассамблеясы 13.12.2006 қабылдаған Мүгедектердің құқықтары туралы конвенцияны ратификациялауын бекітеді. Оның білім беру үшін маңызы — халықаралық құқықтық міндеттемені ұлттық саясатпен байланыстыру. Заң мен оған қосылған конвенцияны бірге оқығанда қолжетімділік, кемсітпеу және инклюзивті білім алу құқығының негізі түсінікті болады. Құжат мектептегі жеке әдістемені толық сипаттамайды; ол құқықтық бағдар береді. Нақты ұйымдастыру шаралары ұлттық заңдар мен қолданыстағы қағидалар арқылы нақтыланады. Мәртебесі: ратификациялау туралы заң. Оны халықаралық конвенцияның өзімен бір құжат деп есептемей, қабылданған міндеттемені бекітетін ұлттық акт ретінде көрсету қажет.</w:t>
      </w:r>
    </w:p>
    <w:p>
      <w:pPr>
        <w:spacing w:after="120"/>
        <w:jc w:val="left"/>
      </w:pPr>
      <w:r>
        <w:rPr>
          <w:sz w:val="22"/>
        </w:rPr>
        <w:t>ҚР 20.02.2015 №288-V ҚРЗ Заңы. URL: https://old.adilet.zan.kz/kaz/docs/Z1500000288</w:t>
      </w:r>
    </w:p>
    <w:p>
      <w:pPr>
        <w:pStyle w:val="1"/>
      </w:pPr>
      <w:r>
        <w:t>Халықаралық құжаттар тізімі</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504"/>
        <w:gridCol w:w="5155"/>
        <w:gridCol w:w="3744"/>
      </w:tblGrid>
      <w:tr>
        <w:trPr>
          <w:tblHeader/>
        </w:trPr>
        <w:tc>
          <w:tcPr>
            <w:tcW w:type="dxa" w:w="504"/>
            <w:vAlign w:val="center"/>
            <w:shd w:fill="EEEEEE"/>
          </w:tcPr>
          <w:p>
            <w:pPr>
              <w:spacing w:after="60" w:before="60" w:line="240" w:lineRule="auto"/>
            </w:pPr>
            <w:r>
              <w:rPr>
                <w:rFonts w:ascii="Times New Roman" w:hAnsi="Times New Roman"/>
                <w:b/>
                <w:sz w:val="22"/>
              </w:rPr>
              <w:t>№</w:t>
            </w:r>
          </w:p>
        </w:tc>
        <w:tc>
          <w:tcPr>
            <w:tcW w:type="dxa" w:w="5155"/>
            <w:vAlign w:val="center"/>
            <w:shd w:fill="EEEEEE"/>
          </w:tcPr>
          <w:p>
            <w:pPr>
              <w:spacing w:after="60" w:before="60" w:line="240" w:lineRule="auto"/>
            </w:pPr>
            <w:r>
              <w:rPr>
                <w:rFonts w:ascii="Times New Roman" w:hAnsi="Times New Roman"/>
                <w:b/>
                <w:sz w:val="22"/>
              </w:rPr>
              <w:t>Құжат</w:t>
            </w:r>
          </w:p>
        </w:tc>
        <w:tc>
          <w:tcPr>
            <w:tcW w:type="dxa" w:w="3744"/>
            <w:vAlign w:val="center"/>
            <w:shd w:fill="EEEEEE"/>
          </w:tcPr>
          <w:p>
            <w:pPr>
              <w:spacing w:after="60" w:before="60" w:line="240" w:lineRule="auto"/>
            </w:pPr>
            <w:r>
              <w:rPr>
                <w:rFonts w:ascii="Times New Roman" w:hAnsi="Times New Roman"/>
                <w:b/>
                <w:sz w:val="22"/>
              </w:rPr>
              <w:t>Құқықтық сипаты</w:t>
            </w:r>
          </w:p>
        </w:tc>
      </w:tr>
      <w:tr>
        <w:tc>
          <w:tcPr>
            <w:tcW w:type="dxa" w:w="504"/>
            <w:vAlign w:val="center"/>
          </w:tcPr>
          <w:p>
            <w:pPr>
              <w:spacing w:after="60" w:before="60" w:line="240" w:lineRule="auto"/>
            </w:pPr>
            <w:r>
              <w:rPr>
                <w:rFonts w:ascii="Times New Roman" w:hAnsi="Times New Roman"/>
                <w:b w:val="0"/>
                <w:sz w:val="22"/>
              </w:rPr>
              <w:t>1</w:t>
            </w:r>
          </w:p>
        </w:tc>
        <w:tc>
          <w:tcPr>
            <w:tcW w:type="dxa" w:w="5155"/>
            <w:vAlign w:val="center"/>
          </w:tcPr>
          <w:p>
            <w:pPr>
              <w:spacing w:after="60" w:before="60" w:line="240" w:lineRule="auto"/>
            </w:pPr>
            <w:r>
              <w:rPr>
                <w:rFonts w:ascii="Times New Roman" w:hAnsi="Times New Roman"/>
                <w:b w:val="0"/>
                <w:sz w:val="22"/>
              </w:rPr>
              <w:t>Бала құқықтары туралы конвенция</w:t>
            </w:r>
          </w:p>
        </w:tc>
        <w:tc>
          <w:tcPr>
            <w:tcW w:type="dxa" w:w="3744"/>
            <w:vAlign w:val="center"/>
          </w:tcPr>
          <w:p>
            <w:pPr>
              <w:spacing w:after="60" w:before="60" w:line="240" w:lineRule="auto"/>
            </w:pPr>
            <w:r>
              <w:rPr>
                <w:rFonts w:ascii="Times New Roman" w:hAnsi="Times New Roman"/>
                <w:b w:val="0"/>
                <w:sz w:val="22"/>
              </w:rPr>
              <w:t>Халықаралық шарт</w:t>
            </w:r>
          </w:p>
        </w:tc>
      </w:tr>
      <w:tr>
        <w:tc>
          <w:tcPr>
            <w:tcW w:type="dxa" w:w="504"/>
            <w:vAlign w:val="center"/>
          </w:tcPr>
          <w:p>
            <w:pPr>
              <w:spacing w:after="60" w:before="60" w:line="240" w:lineRule="auto"/>
            </w:pPr>
            <w:r>
              <w:rPr>
                <w:rFonts w:ascii="Times New Roman" w:hAnsi="Times New Roman"/>
                <w:b w:val="0"/>
                <w:sz w:val="22"/>
              </w:rPr>
              <w:t>2</w:t>
            </w:r>
          </w:p>
        </w:tc>
        <w:tc>
          <w:tcPr>
            <w:tcW w:type="dxa" w:w="5155"/>
            <w:vAlign w:val="center"/>
          </w:tcPr>
          <w:p>
            <w:pPr>
              <w:spacing w:after="60" w:before="60" w:line="240" w:lineRule="auto"/>
            </w:pPr>
            <w:r>
              <w:rPr>
                <w:rFonts w:ascii="Times New Roman" w:hAnsi="Times New Roman"/>
                <w:b w:val="0"/>
                <w:sz w:val="22"/>
              </w:rPr>
              <w:t>Мүгедектердің құқықтары туралы конвенция</w:t>
            </w:r>
          </w:p>
        </w:tc>
        <w:tc>
          <w:tcPr>
            <w:tcW w:type="dxa" w:w="3744"/>
            <w:vAlign w:val="center"/>
          </w:tcPr>
          <w:p>
            <w:pPr>
              <w:spacing w:after="60" w:before="60" w:line="240" w:lineRule="auto"/>
            </w:pPr>
            <w:r>
              <w:rPr>
                <w:rFonts w:ascii="Times New Roman" w:hAnsi="Times New Roman"/>
                <w:b w:val="0"/>
                <w:sz w:val="22"/>
              </w:rPr>
              <w:t>Халықаралық шарт</w:t>
            </w:r>
          </w:p>
        </w:tc>
      </w:tr>
      <w:tr>
        <w:tc>
          <w:tcPr>
            <w:tcW w:type="dxa" w:w="504"/>
            <w:vAlign w:val="center"/>
          </w:tcPr>
          <w:p>
            <w:pPr>
              <w:spacing w:after="60" w:before="60" w:line="240" w:lineRule="auto"/>
            </w:pPr>
            <w:r>
              <w:rPr>
                <w:rFonts w:ascii="Times New Roman" w:hAnsi="Times New Roman"/>
                <w:b w:val="0"/>
                <w:sz w:val="22"/>
              </w:rPr>
              <w:t>3</w:t>
            </w:r>
          </w:p>
        </w:tc>
        <w:tc>
          <w:tcPr>
            <w:tcW w:type="dxa" w:w="5155"/>
            <w:vAlign w:val="center"/>
          </w:tcPr>
          <w:p>
            <w:pPr>
              <w:spacing w:after="60" w:before="60" w:line="240" w:lineRule="auto"/>
            </w:pPr>
            <w:r>
              <w:rPr>
                <w:rFonts w:ascii="Times New Roman" w:hAnsi="Times New Roman"/>
                <w:b w:val="0"/>
                <w:sz w:val="22"/>
              </w:rPr>
              <w:t>Саламанка мәлімдемесі және ерекше қажеттіліктері бар адамдарға білім беру жөніндегі іс-қимыл шеңбері</w:t>
            </w:r>
          </w:p>
        </w:tc>
        <w:tc>
          <w:tcPr>
            <w:tcW w:type="dxa" w:w="3744"/>
            <w:vAlign w:val="center"/>
          </w:tcPr>
          <w:p>
            <w:pPr>
              <w:spacing w:after="60" w:before="60" w:line="240" w:lineRule="auto"/>
            </w:pPr>
            <w:r>
              <w:rPr>
                <w:rFonts w:ascii="Times New Roman" w:hAnsi="Times New Roman"/>
                <w:b w:val="0"/>
                <w:sz w:val="22"/>
              </w:rPr>
              <w:t>Саяси декларация және ұсынымдық іс-қимыл шеңбері</w:t>
            </w:r>
          </w:p>
        </w:tc>
      </w:tr>
      <w:tr>
        <w:tc>
          <w:tcPr>
            <w:tcW w:type="dxa" w:w="504"/>
            <w:vAlign w:val="center"/>
          </w:tcPr>
          <w:p>
            <w:pPr>
              <w:spacing w:after="60" w:before="60" w:line="240" w:lineRule="auto"/>
            </w:pPr>
            <w:r>
              <w:rPr>
                <w:rFonts w:ascii="Times New Roman" w:hAnsi="Times New Roman"/>
                <w:b w:val="0"/>
                <w:sz w:val="22"/>
              </w:rPr>
              <w:t>4</w:t>
            </w:r>
          </w:p>
        </w:tc>
        <w:tc>
          <w:tcPr>
            <w:tcW w:type="dxa" w:w="5155"/>
            <w:vAlign w:val="center"/>
          </w:tcPr>
          <w:p>
            <w:pPr>
              <w:spacing w:after="60" w:before="60" w:line="240" w:lineRule="auto"/>
            </w:pPr>
            <w:r>
              <w:rPr>
                <w:rFonts w:ascii="Times New Roman" w:hAnsi="Times New Roman"/>
                <w:b w:val="0"/>
                <w:sz w:val="22"/>
              </w:rPr>
              <w:t>Инчхон декларациясы Білім 2030</w:t>
            </w:r>
          </w:p>
        </w:tc>
        <w:tc>
          <w:tcPr>
            <w:tcW w:type="dxa" w:w="3744"/>
            <w:vAlign w:val="center"/>
          </w:tcPr>
          <w:p>
            <w:pPr>
              <w:spacing w:after="60" w:before="60" w:line="240" w:lineRule="auto"/>
            </w:pPr>
            <w:r>
              <w:rPr>
                <w:rFonts w:ascii="Times New Roman" w:hAnsi="Times New Roman"/>
                <w:b w:val="0"/>
                <w:sz w:val="22"/>
              </w:rPr>
              <w:t>Саяси декларация</w:t>
            </w:r>
          </w:p>
        </w:tc>
      </w:tr>
    </w:tbl>
    <w:p>
      <w:pPr>
        <w:pStyle w:val="1"/>
      </w:pPr>
      <w:r>
        <w:t>Халықаралық құжаттарға аннотациялар</w:t>
      </w:r>
    </w:p>
    <w:p>
      <w:pPr>
        <w:pStyle w:val="21"/>
      </w:pPr>
      <w:r>
        <w:t>1 Бала құқықтары туралы конвенция</w:t>
      </w:r>
    </w:p>
    <w:p>
      <w:pPr>
        <w:pStyle w:val="af"/>
        <w:spacing w:line="276" w:lineRule="auto" w:after="120"/>
        <w:ind w:firstLine="720"/>
        <w:jc w:val="both"/>
      </w:pPr>
      <w:r>
        <w:rPr>
          <w:lang w:val="kk-KZ"/>
        </w:rPr>
        <w:t>Конвенция баланың құқықтарын кемсітусіз қорғауды және оның мүддесін ескеруді талап етеді. 23-бап мүгедектігі бар баланың толыққанды өмірі мен қолдауын, 28-бап білім алу құқығын, 29-бап білімнің тұлғаны дамыту мақсатын қамтиды. 12-бап баланың пікірін тыңдауға негіз болады. Инклюзивті мектеп үшін құжаттың мәні — оқушыны қолдау нысаны ғана емес, өз пікірін білдіретін құқық иесі ретінде қарастыру. Ата-анамен жоспар құруда баланың жасына және мүмкіндігіне сәйкес пікірін ескеру қажет. Құжат мектептің тәртібі мен қарым-қатынасын баланың қадір-қасиетін сақтай отырып ұйымдастыруға құқықтық бағдар береді.</w:t>
      </w:r>
    </w:p>
    <w:p>
      <w:pPr>
        <w:spacing w:after="120"/>
        <w:jc w:val="left"/>
      </w:pPr>
      <w:r>
        <w:rPr>
          <w:sz w:val="22"/>
        </w:rPr>
        <w:t>БҰҰ, 20.11.1989. Халықаралық шарт. URL: https://www.unicef.org/child-rights-convention/convention-text</w:t>
      </w:r>
    </w:p>
    <w:p>
      <w:pPr>
        <w:pStyle w:val="21"/>
      </w:pPr>
      <w:r>
        <w:t>2 Мүгедектердің құқықтары туралы конвенция</w:t>
      </w:r>
    </w:p>
    <w:p>
      <w:pPr>
        <w:pStyle w:val="af"/>
        <w:spacing w:line="276" w:lineRule="auto" w:after="120"/>
        <w:ind w:firstLine="720"/>
        <w:jc w:val="both"/>
      </w:pPr>
      <w:r>
        <w:rPr>
          <w:lang w:val="kk-KZ"/>
        </w:rPr>
        <w:t>Конвенцияның 24-бабы білім алу құқығын және барлық деңгейдегі инклюзивті білім беру жүйесін қарастырады. Мүгедектік негізінде жалпы білім жүйесінен шығарып тастамау, ақылға қонымды бейімдеу және қажетті қолдау беру мәселелері осы бапта байланысады. Қолжетімділікке қатысты 9-бап физикалық және ақпараттық ортаны бағалауға да маңызды. Педагогикалық тұрғыдан құжат баланың сыныпта болуы мен мәнді білім алуын ажыратуға көмектеседі: оқушыға оқу әрекетіне қатысу үшін қолдау қажет болуы мүмкін. Қазақстанда конвенция 2015 жылғы ратификациялау заңымен бекітілген. Аннотация үшін оның ресми қазақша мәтіні қолданылды.</w:t>
      </w:r>
    </w:p>
    <w:p>
      <w:pPr>
        <w:spacing w:after="120"/>
        <w:jc w:val="left"/>
      </w:pPr>
      <w:r>
        <w:rPr>
          <w:sz w:val="22"/>
        </w:rPr>
        <w:t>БҰҰ, 13.12.2006. Халықаралық шарт. URL: https://old.adilet.zan.kz/kaz/docs/Z1500000288</w:t>
      </w:r>
    </w:p>
    <w:p>
      <w:pPr>
        <w:pStyle w:val="21"/>
      </w:pPr>
      <w:r>
        <w:t>3 Саламанка мәлімдемесі және ерекше қажеттіліктері бар адамдарға білім беру жөніндегі іс-қимыл шеңбері</w:t>
      </w:r>
    </w:p>
    <w:p>
      <w:pPr>
        <w:pStyle w:val="af"/>
        <w:spacing w:line="276" w:lineRule="auto" w:after="120"/>
        <w:ind w:firstLine="720"/>
        <w:jc w:val="both"/>
      </w:pPr>
      <w:r>
        <w:rPr>
          <w:lang w:val="kk-KZ"/>
        </w:rPr>
        <w:t>Құжат әр баланың білім алу құқығын, жеке оқу ерекшеліктерін және жалпы мектептердің әртүрлі қажеттілікке жауап беруін алға қояды. Мұғалім даярлығы, ата-аналар қатысуы және ерте қолдау мектеп дамуының маңызды бағыттары ретінде қарастырылады. Оның тарихи маңызы — білім беру жүйесін оқушыға бейімдеу идеясының халықаралық деңгейде орнығуына ықпал етуі. Бұл ратификацияланатын конвенция емес: мәлімдеме саяси және әдістемелік бағдар ұсынады. Сондықтан оны Қазақстанның нақты міндетті рәсімдерін анықтайтын министрлік бұйрығымен теңестіруге болмайды. Аннотация конференцияның ресми қорытынды есебіндегі мәлімдеме мен іс-қимыл мәтініне негізделді.</w:t>
      </w:r>
    </w:p>
    <w:p>
      <w:pPr>
        <w:spacing w:after="120"/>
        <w:jc w:val="left"/>
      </w:pPr>
      <w:r>
        <w:rPr>
          <w:sz w:val="22"/>
        </w:rPr>
        <w:t>Саламанка конференциясы, 07–10.06.1994. Саяси декларация және ұсынымдық іс-қимыл шеңбері. URL: https://files.eric.ed.gov/fulltext/ED384189.pdf</w:t>
      </w:r>
    </w:p>
    <w:p>
      <w:pPr>
        <w:pStyle w:val="21"/>
      </w:pPr>
      <w:r>
        <w:t>4 Инчхон декларациясы Білім 2030</w:t>
      </w:r>
    </w:p>
    <w:p>
      <w:pPr>
        <w:pStyle w:val="af"/>
        <w:spacing w:line="276" w:lineRule="auto" w:after="120"/>
        <w:ind w:firstLine="720"/>
        <w:jc w:val="both"/>
      </w:pPr>
      <w:r>
        <w:rPr>
          <w:lang w:val="kk-KZ"/>
        </w:rPr>
        <w:t>Декларация баршаға инклюзивті әрі әділетті сапалы білім беру және өмір бойы оқу мүмкіндіктері туралы ортақ бағыт ұсынады. Оның өзегінде білімге қолжетімділікпен бірге оқу сапасы мен тең мүмкіндік мәселелері тұр. Мектеп үшін бұл тек қабылданған оқушы санын есептеу жеткіліксіз екенін түсіндіреді: оқуға қатысу, қажетті қолдау және нәтижелер де назарда болуы керек. Құжат білім беру саясатын жоспарлауда халықаралық бағдар ретінде пайдалы. Ол жеке оқушыға қолдау тағайындаудың ұлттық рәсімін алмастырмайды. Құқықтық мәртебесі халықаралық шарттан өзгеше болғандықтан, тізімде саяси декларация ретінде көрсетілді.</w:t>
      </w:r>
    </w:p>
    <w:p>
      <w:pPr>
        <w:spacing w:after="120"/>
        <w:jc w:val="left"/>
      </w:pPr>
      <w:r>
        <w:rPr>
          <w:sz w:val="22"/>
        </w:rPr>
        <w:t>Дүниежүзілік білім форумы, 2015. Саяси декларация. URL: https://www.unesco.org/en/articles/incheon-declaration-education-2030-towards-inclusive-and-equitable-quality-education-and-lifelong</w:t>
      </w:r>
    </w:p>
    <w:p>
      <w:pPr>
        <w:pStyle w:val="1"/>
      </w:pPr>
      <w:r>
        <w:t>Қорытынды</w:t>
      </w:r>
    </w:p>
    <w:p>
      <w:pPr>
        <w:pStyle w:val="af"/>
        <w:spacing w:line="276" w:lineRule="auto" w:after="120"/>
        <w:ind w:firstLine="720"/>
        <w:jc w:val="both"/>
      </w:pPr>
      <w:r>
        <w:rPr>
          <w:lang w:val="kk-KZ"/>
        </w:rPr>
        <w:t>Отандық құжаттар қолдауды кім және қандай тәртіппен ұйымдастыратынын нақтылайды. Халықаралық шарттар білім алу, кемсітпеу және қажетті қолдау құқықтарының негізін береді; декларациялар саясат пен практикаға бағдар ұсынады. Мектептің қолдау жоспары қазіргі ұлттық қағидаларға сүйеніп, осы құқықтық қағидаттарды күнделікті оқытуға айналдыруы керек. Өзгеріс енгізетін заңды тарихи кезең ретінде түсіндіру және негізгі актінің қазіргі редакциясын қолдану нормативтік қателіктерді азайтады.</w:t>
      </w:r>
    </w:p>
    <w:p>
      <w:pPr>
        <w:pStyle w:val="1"/>
      </w:pPr>
      <w:r>
        <w:t>Пайдаланылған әдебиеттер</w:t>
      </w:r>
    </w:p>
    <w:p>
      <w:pPr>
        <w:spacing w:after="120"/>
        <w:jc w:val="left"/>
      </w:pPr>
      <w:r>
        <w:rPr>
          <w:sz w:val="22"/>
        </w:rPr>
        <w:t>1. Білім туралы. ҚР 27.07.2007 №319 Заңы. URL: https://old.adilet.zan.kz/kaz/docs/Z070000319_</w:t>
      </w:r>
    </w:p>
    <w:p>
      <w:pPr>
        <w:spacing w:after="120"/>
        <w:jc w:val="left"/>
      </w:pPr>
      <w:r>
        <w:rPr>
          <w:sz w:val="22"/>
        </w:rPr>
        <w:t>2. Қазақстан Республикасының кейбір заңнамалық актілеріне инклюзивті білім беру мәселелері бойынша өзгерістер мен толықтырулар енгізу туралы. ҚР 26.06.2021 №56-VII ҚРЗ Заңы. URL: https://old.adilet.zan.kz/kaz/docs/Z2100000056</w:t>
      </w:r>
    </w:p>
    <w:p>
      <w:pPr>
        <w:spacing w:after="120"/>
        <w:jc w:val="left"/>
      </w:pPr>
      <w:r>
        <w:rPr>
          <w:sz w:val="22"/>
        </w:rPr>
        <w:t>3. Ерекше білім беру қажеттіліктерін бағалау қағидаларын және бағдарламаларын бекіту туралы. ҚР Білім және ғылым министрінің 12.01.2022 №4 бұйрығы; тіркеу №26618. URL: https://old.adilet.zan.kz/kaz/docs/V2200026618/compare</w:t>
      </w:r>
    </w:p>
    <w:p>
      <w:pPr>
        <w:spacing w:after="120"/>
        <w:jc w:val="left"/>
      </w:pPr>
      <w:r>
        <w:rPr>
          <w:sz w:val="22"/>
        </w:rPr>
        <w:t>4. Білім беру ұйымдарындағы психологиялық-педагогикалық қолдау қызметінің жұмыс істеу қағидаларын бекіту туралы. ҚР Оқу-ағарту министрінің 29.04.2025 №92 бұйрығы; тіркеу №36047. URL: https://old.adilet.zan.kz/kaz/docs/V2500036047</w:t>
      </w:r>
    </w:p>
    <w:p>
      <w:pPr>
        <w:spacing w:after="120"/>
        <w:jc w:val="left"/>
      </w:pPr>
      <w:r>
        <w:rPr>
          <w:sz w:val="22"/>
        </w:rPr>
        <w:t>5. Жоғары және жоғары оқу орнынан кейінгі білім беру ұйымдарын қоспағанда, тиісті типтердегі және түрлердегі білім беру ұйымдары қызметінің үлгілік қағидаларын бекіту туралы. ҚР Оқу-ағарту министрінің 31.08.2022 №385 бұйрығы; тіркеу №29329. URL: https://old.adilet.zan.kz/kaz/docs/V2200029329/compare</w:t>
      </w:r>
    </w:p>
    <w:p>
      <w:pPr>
        <w:spacing w:after="120"/>
        <w:jc w:val="left"/>
      </w:pPr>
      <w:r>
        <w:rPr>
          <w:sz w:val="22"/>
        </w:rPr>
        <w:t>6. Мүгедектердің құқықтары туралы конвенцияны ратификациялау туралы. ҚР 20.02.2015 №288-V ҚРЗ Заңы. URL: https://old.adilet.zan.kz/kaz/docs/Z1500000288</w:t>
      </w:r>
    </w:p>
    <w:p>
      <w:pPr>
        <w:spacing w:after="120"/>
        <w:jc w:val="left"/>
      </w:pPr>
      <w:r>
        <w:rPr>
          <w:sz w:val="22"/>
        </w:rPr>
        <w:t>7. Бала құқықтары туралы конвенция. БҰҰ, 20.11.1989. URL: https://www.unicef.org/child-rights-convention/convention-text</w:t>
      </w:r>
    </w:p>
    <w:p>
      <w:pPr>
        <w:spacing w:after="120"/>
        <w:jc w:val="left"/>
      </w:pPr>
      <w:r>
        <w:rPr>
          <w:sz w:val="22"/>
        </w:rPr>
        <w:t>8. Мүгедектердің құқықтары туралы конвенция. БҰҰ, 13.12.2006. URL: https://old.adilet.zan.kz/kaz/docs/Z1500000288</w:t>
      </w:r>
    </w:p>
    <w:p>
      <w:pPr>
        <w:spacing w:after="120"/>
        <w:jc w:val="left"/>
      </w:pPr>
      <w:r>
        <w:rPr>
          <w:sz w:val="22"/>
        </w:rPr>
        <w:t>9. Саламанка мәлімдемесі және ерекше қажеттіліктері бар адамдарға білім беру жөніндегі іс-қимыл шеңбері. Саламанка конференциясы, 07–10.06.1994. URL: https://files.eric.ed.gov/fulltext/ED384189.pdf</w:t>
      </w:r>
    </w:p>
    <w:p>
      <w:pPr>
        <w:spacing w:after="120"/>
        <w:jc w:val="left"/>
      </w:pPr>
      <w:r>
        <w:rPr>
          <w:sz w:val="22"/>
        </w:rPr>
        <w:t>10. Инчхон декларациясы Білім 2030. Дүниежүзілік білім форумы, 2015. URL: https://www.unesco.org/en/articles/incheon-declaration-education-2030-towards-inclusive-and-equitable-quality-education-and-lifelong</w:t>
      </w:r>
    </w:p>
    <w:sectPr w:rsidR="003F2A86" w:rsidRPr="004241FF" w:rsidSect="004241FF">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4B39" w14:textId="77777777" w:rsidR="007517FA" w:rsidRDefault="007517FA" w:rsidP="004241FF">
      <w:pPr>
        <w:spacing w:after="0" w:line="240" w:lineRule="auto"/>
      </w:pPr>
      <w:r>
        <w:separator/>
      </w:r>
    </w:p>
  </w:endnote>
  <w:endnote w:type="continuationSeparator" w:id="0">
    <w:p w14:paraId="567EDE5C" w14:textId="77777777" w:rsidR="007517FA" w:rsidRDefault="007517FA" w:rsidP="0042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48D7" w14:textId="77777777" w:rsidR="007517FA" w:rsidRDefault="007517FA" w:rsidP="004241FF">
      <w:pPr>
        <w:spacing w:after="0" w:line="240" w:lineRule="auto"/>
      </w:pPr>
      <w:r>
        <w:separator/>
      </w:r>
    </w:p>
  </w:footnote>
  <w:footnote w:type="continuationSeparator" w:id="0">
    <w:p w14:paraId="5779B4BF" w14:textId="77777777" w:rsidR="007517FA" w:rsidRDefault="007517FA" w:rsidP="00424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2317389">
    <w:abstractNumId w:val="8"/>
  </w:num>
  <w:num w:numId="2" w16cid:durableId="1042631100">
    <w:abstractNumId w:val="6"/>
  </w:num>
  <w:num w:numId="3" w16cid:durableId="1174998952">
    <w:abstractNumId w:val="5"/>
  </w:num>
  <w:num w:numId="4" w16cid:durableId="1944024009">
    <w:abstractNumId w:val="4"/>
  </w:num>
  <w:num w:numId="5" w16cid:durableId="1093084128">
    <w:abstractNumId w:val="7"/>
  </w:num>
  <w:num w:numId="6" w16cid:durableId="107361408">
    <w:abstractNumId w:val="3"/>
  </w:num>
  <w:num w:numId="7" w16cid:durableId="143089389">
    <w:abstractNumId w:val="2"/>
  </w:num>
  <w:num w:numId="8" w16cid:durableId="663894472">
    <w:abstractNumId w:val="1"/>
  </w:num>
  <w:num w:numId="9" w16cid:durableId="223563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56A"/>
    <w:rsid w:val="00326F90"/>
    <w:rsid w:val="003F2A86"/>
    <w:rsid w:val="004241FF"/>
    <w:rsid w:val="007517FA"/>
    <w:rsid w:val="00783ECF"/>
    <w:rsid w:val="00AA1D8D"/>
    <w:rsid w:val="00B47730"/>
    <w:rsid w:val="00C217BF"/>
    <w:rsid w:val="00C3030F"/>
    <w:rsid w:val="00CB0664"/>
    <w:rsid w:val="00D52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C20A6"/>
  <w14:defaultImageDpi w14:val="300"/>
  <w15:docId w15:val="{2C2BA414-6CA0-409D-BF45-FD39F65B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222222"/>
      <w:sz w:val="24"/>
    </w:rPr>
  </w:style>
  <w:style w:type="paragraph" w:styleId="1">
    <w:name w:val="heading 1"/>
    <w:basedOn w:val="a1"/>
    <w:next w:val="a1"/>
    <w:link w:val="10"/>
    <w:uiPriority w:val="9"/>
    <w:qFormat/>
    <w:rsid w:val="004241FF"/>
    <w:pPr>
      <w:keepNext/>
      <w:keepLines/>
      <w:spacing w:before="240" w:after="0"/>
      <w:outlineLvl w:val="0"/>
    </w:pPr>
    <w:rPr>
      <w:rFonts w:eastAsiaTheme="majorEastAsia" w:cstheme="majorBidi"/>
      <w:b/>
      <w:bCs/>
      <w:color w:val="365F91" w:themeColor="accent1" w:themeShade="BF"/>
      <w:sz w:val="32"/>
      <w:szCs w:val="28"/>
    </w:rPr>
  </w:style>
  <w:style w:type="paragraph" w:styleId="21">
    <w:name w:val="heading 2"/>
    <w:basedOn w:val="a1"/>
    <w:next w:val="a1"/>
    <w:link w:val="22"/>
    <w:uiPriority w:val="9"/>
    <w:unhideWhenUsed/>
    <w:qFormat/>
    <w:rsid w:val="00C217BF"/>
    <w:pPr>
      <w:keepNext/>
      <w:keepLines/>
      <w:spacing w:before="200" w:after="0"/>
      <w:ind w:firstLine="720"/>
      <w:outlineLvl w:val="1"/>
    </w:pPr>
    <w:rPr>
      <w:rFonts w:eastAsiaTheme="majorEastAsia"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4241FF"/>
    <w:rPr>
      <w:rFonts w:ascii="Times New Roman" w:eastAsiaTheme="majorEastAsia" w:hAnsi="Times New Roman" w:cstheme="majorBidi"/>
      <w:b/>
      <w:bCs/>
      <w:color w:val="365F91" w:themeColor="accent1" w:themeShade="BF"/>
      <w:sz w:val="32"/>
      <w:szCs w:val="28"/>
    </w:rPr>
  </w:style>
  <w:style w:type="character" w:customStyle="1" w:styleId="22">
    <w:name w:val="Заголовок 2 Знак"/>
    <w:basedOn w:val="a2"/>
    <w:link w:val="21"/>
    <w:uiPriority w:val="9"/>
    <w:rsid w:val="00C217BF"/>
    <w:rPr>
      <w:rFonts w:ascii="Times New Roman" w:eastAsiaTheme="majorEastAsia" w:hAnsi="Times New Roman" w:cstheme="majorBidi"/>
      <w:b/>
      <w:bCs/>
      <w:color w:val="4F81BD" w:themeColor="accen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241FF"/>
    <w:pPr>
      <w:spacing w:after="100"/>
    </w:pPr>
  </w:style>
  <w:style w:type="character" w:styleId="aff8">
    <w:name w:val="Hyperlink"/>
    <w:basedOn w:val="a2"/>
    <w:uiPriority w:val="99"/>
    <w:unhideWhenUsed/>
    <w:rsid w:val="004241FF"/>
    <w:rPr>
      <w:color w:val="0000FF" w:themeColor="hyperlink"/>
      <w:u w:val="single"/>
    </w:rPr>
  </w:style>
  <w:style w:type="paragraph" w:styleId="2c">
    <w:name w:val="toc 2"/>
    <w:basedOn w:val="a1"/>
    <w:next w:val="a1"/>
    <w:autoRedefine/>
    <w:uiPriority w:val="39"/>
    <w:unhideWhenUsed/>
    <w:rsid w:val="00C217B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598</Words>
  <Characters>3415</Characters>
  <Application>Microsoft Office Word</Application>
  <DocSecurity>0</DocSecurity>
  <Lines>28</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Инклюзивті білім беру ортасы 2-апта БӨЖ</dc:title>
  <dc:subject>Отандық және халықаралық нормативтік құжаттарға аннотациялар</dc:subject>
  <dc:creator>Биарстанов Д.А.</dc:creator>
  <cp:keywords/>
  <dc:description>generated by python-docx</dc:description>
  <cp:lastModifiedBy>Биарстанов Д.А.</cp:lastModifiedBy>
  <cp:revision>3</cp:revision>
  <dcterms:created xsi:type="dcterms:W3CDTF">2026-10-02T15:54:00Z</dcterms:created>
  <dcterms:modified xsi:type="dcterms:W3CDTF">2026-10-02T16:26:00Z</dcterms:modified>
  <cp:category/>
</cp:coreProperties>
</file>