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БӨЖ4</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Қауіпсіз және жайлы инклюзивті оқу ортасын құру жоспары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Қауіпсіз және жайлы оқу ортасы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Ата-аналардың қатысуы</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6. Оқушыларды орта құруға қосу</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7</w:t>
          </w:r>
        </w:p>
      </w:sdtContent>
    </w:sdt>
    <w:p>
      <w:pPr>
        <w:pStyle w:val="1"/>
        <w:pageBreakBefore/>
      </w:pPr>
      <w:r>
        <w:t>Кіріспе</w:t>
      </w:r>
    </w:p>
    <w:p>
      <w:pPr>
        <w:pStyle w:val="af"/>
        <w:spacing w:line="276" w:lineRule="auto" w:after="120"/>
        <w:ind w:firstLine="720"/>
        <w:jc w:val="both"/>
      </w:pPr>
      <w:r>
        <w:rPr>
          <w:lang w:val="kk-KZ"/>
        </w:rPr>
        <w:t>Қауіпсіз және жайлы мектеп ортасы оқушының ғимаратқа кіруімен ғана өлшенбейді. Бала сабаққа қатысып, сұрақ қойып, түсінбегенін қауіптенбей айтып, өзіне қолайлы тәсілмен жауап бере алуы керек. Сондықтан жоспар физикалық қолжетімділікті, оқу материалдарын, қарым-қатынасты және психологиялық-педагогикалық қолдауды бірге қарастырады. Мақсат — барлық оқушыға ортақ жағдайды жақсарту және бағалау арқылы анықталған жеке қажеттіліктерге жауап беру.</w:t>
      </w:r>
    </w:p>
    <w:p>
      <w:pPr>
        <w:pStyle w:val="af"/>
        <w:spacing w:line="276" w:lineRule="auto" w:after="120"/>
        <w:ind w:firstLine="720"/>
        <w:jc w:val="both"/>
      </w:pPr>
      <w:r>
        <w:rPr>
          <w:lang w:val="kk-KZ"/>
        </w:rPr>
        <w:t>Бұл жұмыс силлабустың 4.2 жолындағы 4, 5 және 6 тармақтарды бір жоспарға біріктіреді. Ұсынылған іс-шаралар нақты мектепте орындалған әрекеттер ретінде берілмейді. Жобалық іске асыру мерзімі — төрт апта; жауаптылар мектептің құрылымына қарай нақтыланады.</w:t>
      </w:r>
    </w:p>
    <w:p>
      <w:pPr>
        <w:pStyle w:val="1"/>
      </w:pPr>
      <w:r>
        <w:t>4. Қауіпсіз және жайлы оқу ортасы</w:t>
      </w:r>
    </w:p>
    <w:p>
      <w:pPr>
        <w:pStyle w:val="21"/>
      </w:pPr>
      <w:r>
        <w:t>Ұтымды ақпаратты іздеу және іріктеу</w:t>
      </w:r>
    </w:p>
    <w:p>
      <w:pPr>
        <w:pStyle w:val="af"/>
        <w:spacing w:line="276" w:lineRule="auto" w:after="120"/>
        <w:ind w:firstLine="720"/>
        <w:jc w:val="both"/>
      </w:pPr>
      <w:r>
        <w:rPr>
          <w:lang w:val="kk-KZ"/>
        </w:rPr>
        <w:t>Интернеттен ақпарат іздеуде алдымен ресми нормативтік құжаттар, содан кейін силлабуста көрсетілген арнайы және инклюзивті білім беру ресурстары қаралды. Материалдың атауы, авторы немесе шығарушы ұйымы, жарияланған уақыты, қолданылу мақсаты және тексеруге болатын сілтемесі ескерілді. Нормативтік құжаттардың 02.10.2026 күні қолжетімді қолданыстағы редакциясы пайдаланылды. Әдістемелік ұсыным құқықтық норманың орнына қолданылмайды.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376"/>
        <w:gridCol w:w="3240"/>
        <w:gridCol w:w="3528"/>
      </w:tblGrid>
      <w:tr>
        <w:trPr>
          <w:tblHeader/>
        </w:trPr>
        <w:tc>
          <w:tcPr>
            <w:tcW w:type="dxa" w:w="2376"/>
            <w:vAlign w:val="center"/>
            <w:shd w:fill="EEEEEE"/>
          </w:tcPr>
          <w:p>
            <w:pPr>
              <w:spacing w:after="60" w:before="60" w:line="240" w:lineRule="auto"/>
            </w:pPr>
            <w:r>
              <w:rPr>
                <w:rFonts w:ascii="Times New Roman" w:hAnsi="Times New Roman"/>
                <w:b/>
                <w:sz w:val="22"/>
              </w:rPr>
              <w:t>Дереккөз</w:t>
            </w:r>
          </w:p>
        </w:tc>
        <w:tc>
          <w:tcPr>
            <w:tcW w:type="dxa" w:w="3240"/>
            <w:vAlign w:val="center"/>
            <w:shd w:fill="EEEEEE"/>
          </w:tcPr>
          <w:p>
            <w:pPr>
              <w:spacing w:after="60" w:before="60" w:line="240" w:lineRule="auto"/>
            </w:pPr>
            <w:r>
              <w:rPr>
                <w:rFonts w:ascii="Times New Roman" w:hAnsi="Times New Roman"/>
                <w:b/>
                <w:sz w:val="22"/>
              </w:rPr>
              <w:t>Жоспарға пайдалы мазмұн</w:t>
            </w:r>
          </w:p>
        </w:tc>
        <w:tc>
          <w:tcPr>
            <w:tcW w:type="dxa" w:w="3528"/>
            <w:vAlign w:val="center"/>
            <w:shd w:fill="EEEEEE"/>
          </w:tcPr>
          <w:p>
            <w:pPr>
              <w:spacing w:after="60" w:before="60" w:line="240" w:lineRule="auto"/>
            </w:pPr>
            <w:r>
              <w:rPr>
                <w:rFonts w:ascii="Times New Roman" w:hAnsi="Times New Roman"/>
                <w:b/>
                <w:sz w:val="22"/>
              </w:rPr>
              <w:t>Қолдану тәсілі</w:t>
            </w:r>
          </w:p>
        </w:tc>
      </w:tr>
      <w:tr>
        <w:tc>
          <w:tcPr>
            <w:tcW w:type="dxa" w:w="2376"/>
            <w:vAlign w:val="center"/>
          </w:tcPr>
          <w:p>
            <w:pPr>
              <w:spacing w:after="60" w:before="60" w:line="240" w:lineRule="auto"/>
            </w:pPr>
            <w:r>
              <w:rPr>
                <w:rFonts w:ascii="Times New Roman" w:hAnsi="Times New Roman"/>
                <w:b w:val="0"/>
                <w:sz w:val="22"/>
              </w:rPr>
              <w:t>№4 бұйрық, 12.01.2022 [1]</w:t>
            </w:r>
          </w:p>
        </w:tc>
        <w:tc>
          <w:tcPr>
            <w:tcW w:type="dxa" w:w="3240"/>
            <w:vAlign w:val="center"/>
          </w:tcPr>
          <w:p>
            <w:pPr>
              <w:spacing w:after="60" w:before="60" w:line="240" w:lineRule="auto"/>
            </w:pPr>
            <w:r>
              <w:rPr>
                <w:rFonts w:ascii="Times New Roman" w:hAnsi="Times New Roman"/>
                <w:b w:val="0"/>
                <w:sz w:val="22"/>
              </w:rPr>
              <w:t>ЕБҚ бағалау; мұғалім бақылауы және қажетті арнайы жағдайды анықтау.</w:t>
            </w:r>
          </w:p>
        </w:tc>
        <w:tc>
          <w:tcPr>
            <w:tcW w:type="dxa" w:w="3528"/>
            <w:vAlign w:val="center"/>
          </w:tcPr>
          <w:p>
            <w:pPr>
              <w:spacing w:after="60" w:before="60" w:line="240" w:lineRule="auto"/>
            </w:pPr>
            <w:r>
              <w:rPr>
                <w:rFonts w:ascii="Times New Roman" w:hAnsi="Times New Roman"/>
                <w:b w:val="0"/>
                <w:sz w:val="22"/>
              </w:rPr>
              <w:t>Кедергілерді тіркеу және қолдау туралы шешімді нақты дерекке сүйеніп қабылдау.</w:t>
            </w:r>
          </w:p>
        </w:tc>
      </w:tr>
      <w:tr>
        <w:tc>
          <w:tcPr>
            <w:tcW w:type="dxa" w:w="2376"/>
            <w:vAlign w:val="center"/>
          </w:tcPr>
          <w:p>
            <w:pPr>
              <w:spacing w:after="60" w:before="60" w:line="240" w:lineRule="auto"/>
            </w:pPr>
            <w:r>
              <w:rPr>
                <w:rFonts w:ascii="Times New Roman" w:hAnsi="Times New Roman"/>
                <w:b w:val="0"/>
                <w:sz w:val="22"/>
              </w:rPr>
              <w:t>№92 бұйрық, 29.04.2025 [2]</w:t>
            </w:r>
          </w:p>
        </w:tc>
        <w:tc>
          <w:tcPr>
            <w:tcW w:type="dxa" w:w="3240"/>
            <w:vAlign w:val="center"/>
          </w:tcPr>
          <w:p>
            <w:pPr>
              <w:spacing w:after="60" w:before="60" w:line="240" w:lineRule="auto"/>
            </w:pPr>
            <w:r>
              <w:rPr>
                <w:rFonts w:ascii="Times New Roman" w:hAnsi="Times New Roman"/>
                <w:b w:val="0"/>
                <w:sz w:val="22"/>
              </w:rPr>
              <w:t>Мектептегі ППҚҚ жұмысы мен мамандардың өзара іс-қимылы.</w:t>
            </w:r>
          </w:p>
        </w:tc>
        <w:tc>
          <w:tcPr>
            <w:tcW w:type="dxa" w:w="3528"/>
            <w:vAlign w:val="center"/>
          </w:tcPr>
          <w:p>
            <w:pPr>
              <w:spacing w:after="60" w:before="60" w:line="240" w:lineRule="auto"/>
            </w:pPr>
            <w:r>
              <w:rPr>
                <w:rFonts w:ascii="Times New Roman" w:hAnsi="Times New Roman"/>
                <w:b w:val="0"/>
                <w:sz w:val="22"/>
              </w:rPr>
              <w:t>Қолдауды үйлестіру, жауаптыларды белгілеу, отбасы келісімін сақтау.</w:t>
            </w:r>
          </w:p>
        </w:tc>
      </w:tr>
      <w:tr>
        <w:tc>
          <w:tcPr>
            <w:tcW w:type="dxa" w:w="2376"/>
            <w:vAlign w:val="center"/>
          </w:tcPr>
          <w:p>
            <w:pPr>
              <w:spacing w:after="60" w:before="60" w:line="240" w:lineRule="auto"/>
            </w:pPr>
            <w:r>
              <w:rPr>
                <w:rFonts w:ascii="Times New Roman" w:hAnsi="Times New Roman"/>
                <w:b w:val="0"/>
                <w:sz w:val="22"/>
              </w:rPr>
              <w:t>Ы. Алтынсарин атындағы ҰБА, 2024 [3]</w:t>
            </w:r>
          </w:p>
        </w:tc>
        <w:tc>
          <w:tcPr>
            <w:tcW w:type="dxa" w:w="3240"/>
            <w:vAlign w:val="center"/>
          </w:tcPr>
          <w:p>
            <w:pPr>
              <w:spacing w:after="60" w:before="60" w:line="240" w:lineRule="auto"/>
            </w:pPr>
            <w:r>
              <w:rPr>
                <w:rFonts w:ascii="Times New Roman" w:hAnsi="Times New Roman"/>
                <w:b w:val="0"/>
                <w:sz w:val="22"/>
              </w:rPr>
              <w:t>Инклюзивті мәдениет, саясат және практика бойынша әдістемелік бағдар.</w:t>
            </w:r>
          </w:p>
        </w:tc>
        <w:tc>
          <w:tcPr>
            <w:tcW w:type="dxa" w:w="3528"/>
            <w:vAlign w:val="center"/>
          </w:tcPr>
          <w:p>
            <w:pPr>
              <w:spacing w:after="60" w:before="60" w:line="240" w:lineRule="auto"/>
            </w:pPr>
            <w:r>
              <w:rPr>
                <w:rFonts w:ascii="Times New Roman" w:hAnsi="Times New Roman"/>
                <w:b w:val="0"/>
                <w:sz w:val="22"/>
              </w:rPr>
              <w:t>Мектеп ережесін, оқыту тәжірибесін және қатысушылар пікірін қатар талдау.</w:t>
            </w:r>
          </w:p>
        </w:tc>
      </w:tr>
      <w:tr>
        <w:tc>
          <w:tcPr>
            <w:tcW w:type="dxa" w:w="2376"/>
            <w:vAlign w:val="center"/>
          </w:tcPr>
          <w:p>
            <w:pPr>
              <w:spacing w:after="60" w:before="60" w:line="240" w:lineRule="auto"/>
            </w:pPr>
            <w:r>
              <w:rPr>
                <w:rFonts w:ascii="Times New Roman" w:hAnsi="Times New Roman"/>
                <w:b w:val="0"/>
                <w:sz w:val="22"/>
              </w:rPr>
              <w:t>CAST UDL Guidelines 3.0 [4]</w:t>
            </w:r>
          </w:p>
        </w:tc>
        <w:tc>
          <w:tcPr>
            <w:tcW w:type="dxa" w:w="3240"/>
            <w:vAlign w:val="center"/>
          </w:tcPr>
          <w:p>
            <w:pPr>
              <w:spacing w:after="60" w:before="60" w:line="240" w:lineRule="auto"/>
            </w:pPr>
            <w:r>
              <w:rPr>
                <w:rFonts w:ascii="Times New Roman" w:hAnsi="Times New Roman"/>
                <w:b w:val="0"/>
                <w:sz w:val="22"/>
              </w:rPr>
              <w:t>Оқуға қатысу, ақпаратты ұсыну және әрекет/жауап тәсілдерінің әртүрлілігі.</w:t>
            </w:r>
          </w:p>
        </w:tc>
        <w:tc>
          <w:tcPr>
            <w:tcW w:type="dxa" w:w="3528"/>
            <w:vAlign w:val="center"/>
          </w:tcPr>
          <w:p>
            <w:pPr>
              <w:spacing w:after="60" w:before="60" w:line="240" w:lineRule="auto"/>
            </w:pPr>
            <w:r>
              <w:rPr>
                <w:rFonts w:ascii="Times New Roman" w:hAnsi="Times New Roman"/>
                <w:b w:val="0"/>
                <w:sz w:val="22"/>
              </w:rPr>
              <w:t>Нұсқаулықтың қолжетімді нұсқасын және бірнеше жауап тәсілін жобалау.</w:t>
            </w:r>
          </w:p>
        </w:tc>
      </w:tr>
    </w:tbl>
    <w:p>
      <w:pPr>
        <w:pStyle w:val="21"/>
      </w:pPr>
      <w:r>
        <w:t>Жергілікті желідегі ақпаратпен жұмыс</w:t>
      </w:r>
    </w:p>
    <w:p>
      <w:pPr>
        <w:pStyle w:val="af"/>
        <w:spacing w:line="276" w:lineRule="auto" w:after="120"/>
        <w:ind w:firstLine="720"/>
        <w:jc w:val="both"/>
      </w:pPr>
      <w:r>
        <w:rPr>
          <w:lang w:val="kk-KZ"/>
        </w:rPr>
        <w:t>Мектептің жергілікті желісіне және ішкі құжаттарына қолжетімділік болған жоқ. Сондықтан олар қаралды немесе тексерілді деген тұжырым жасалмайды. Төмендегі кесте — мектеп әкімшілігі рұқсат бергеннен кейін қолданылатын іздеу бағыты. Оқушының жеке деректері жалпыға ашық материалға көшірілмейді.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952"/>
        <w:gridCol w:w="2448"/>
        <w:gridCol w:w="3744"/>
      </w:tblGrid>
      <w:tr>
        <w:trPr>
          <w:tblHeader/>
        </w:trPr>
        <w:tc>
          <w:tcPr>
            <w:tcW w:type="dxa" w:w="2952"/>
            <w:vAlign w:val="center"/>
            <w:shd w:fill="EEEEEE"/>
          </w:tcPr>
          <w:p>
            <w:pPr>
              <w:spacing w:after="60" w:before="60" w:line="240" w:lineRule="auto"/>
            </w:pPr>
            <w:r>
              <w:rPr>
                <w:rFonts w:ascii="Times New Roman" w:hAnsi="Times New Roman"/>
                <w:b/>
                <w:sz w:val="22"/>
              </w:rPr>
              <w:t>Сұралатын материал</w:t>
            </w:r>
          </w:p>
        </w:tc>
        <w:tc>
          <w:tcPr>
            <w:tcW w:type="dxa" w:w="2448"/>
            <w:vAlign w:val="center"/>
            <w:shd w:fill="EEEEEE"/>
          </w:tcPr>
          <w:p>
            <w:pPr>
              <w:spacing w:after="60" w:before="60" w:line="240" w:lineRule="auto"/>
            </w:pPr>
            <w:r>
              <w:rPr>
                <w:rFonts w:ascii="Times New Roman" w:hAnsi="Times New Roman"/>
                <w:b/>
                <w:sz w:val="22"/>
              </w:rPr>
              <w:t>Қайдан/кімнен сұралады</w:t>
            </w:r>
          </w:p>
        </w:tc>
        <w:tc>
          <w:tcPr>
            <w:tcW w:type="dxa" w:w="3744"/>
            <w:vAlign w:val="center"/>
            <w:shd w:fill="EEEEEE"/>
          </w:tcPr>
          <w:p>
            <w:pPr>
              <w:spacing w:after="60" w:before="60" w:line="240" w:lineRule="auto"/>
            </w:pPr>
            <w:r>
              <w:rPr>
                <w:rFonts w:ascii="Times New Roman" w:hAnsi="Times New Roman"/>
                <w:b/>
                <w:sz w:val="22"/>
              </w:rPr>
              <w:t>Нені анықтау қажет</w:t>
            </w:r>
          </w:p>
        </w:tc>
      </w:tr>
      <w:tr>
        <w:tc>
          <w:tcPr>
            <w:tcW w:type="dxa" w:w="2952"/>
            <w:vAlign w:val="center"/>
          </w:tcPr>
          <w:p>
            <w:pPr>
              <w:spacing w:after="60" w:before="60" w:line="240" w:lineRule="auto"/>
            </w:pPr>
            <w:r>
              <w:rPr>
                <w:rFonts w:ascii="Times New Roman" w:hAnsi="Times New Roman"/>
                <w:b w:val="0"/>
                <w:sz w:val="22"/>
              </w:rPr>
              <w:t>Қауіпсіздік және эвакуация жоспары</w:t>
            </w:r>
          </w:p>
        </w:tc>
        <w:tc>
          <w:tcPr>
            <w:tcW w:type="dxa" w:w="2448"/>
            <w:vAlign w:val="center"/>
          </w:tcPr>
          <w:p>
            <w:pPr>
              <w:spacing w:after="60" w:before="60" w:line="240" w:lineRule="auto"/>
            </w:pPr>
            <w:r>
              <w:rPr>
                <w:rFonts w:ascii="Times New Roman" w:hAnsi="Times New Roman"/>
                <w:b w:val="0"/>
                <w:sz w:val="22"/>
              </w:rPr>
              <w:t>Әкімшілік, қауіпсіздікке жауапты қызметкер</w:t>
            </w:r>
          </w:p>
        </w:tc>
        <w:tc>
          <w:tcPr>
            <w:tcW w:type="dxa" w:w="3744"/>
            <w:vAlign w:val="center"/>
          </w:tcPr>
          <w:p>
            <w:pPr>
              <w:spacing w:after="60" w:before="60" w:line="240" w:lineRule="auto"/>
            </w:pPr>
            <w:r>
              <w:rPr>
                <w:rFonts w:ascii="Times New Roman" w:hAnsi="Times New Roman"/>
                <w:b w:val="0"/>
                <w:sz w:val="22"/>
              </w:rPr>
              <w:t>Барлық оқушы үшін қозғалу жолы; ерекше қолдау қажет жағдайда әрекет тәртібі.</w:t>
            </w:r>
          </w:p>
        </w:tc>
      </w:tr>
      <w:tr>
        <w:tc>
          <w:tcPr>
            <w:tcW w:type="dxa" w:w="2952"/>
            <w:vAlign w:val="center"/>
          </w:tcPr>
          <w:p>
            <w:pPr>
              <w:spacing w:after="60" w:before="60" w:line="240" w:lineRule="auto"/>
            </w:pPr>
            <w:r>
              <w:rPr>
                <w:rFonts w:ascii="Times New Roman" w:hAnsi="Times New Roman"/>
                <w:b w:val="0"/>
                <w:sz w:val="22"/>
              </w:rPr>
              <w:t>ППҚҚ жұмыс жоспары және қолдау тәртібі</w:t>
            </w:r>
          </w:p>
        </w:tc>
        <w:tc>
          <w:tcPr>
            <w:tcW w:type="dxa" w:w="2448"/>
            <w:vAlign w:val="center"/>
          </w:tcPr>
          <w:p>
            <w:pPr>
              <w:spacing w:after="60" w:before="60" w:line="240" w:lineRule="auto"/>
            </w:pPr>
            <w:r>
              <w:rPr>
                <w:rFonts w:ascii="Times New Roman" w:hAnsi="Times New Roman"/>
                <w:b w:val="0"/>
                <w:sz w:val="22"/>
              </w:rPr>
              <w:t>Қызмет үйлестірушісі</w:t>
            </w:r>
          </w:p>
        </w:tc>
        <w:tc>
          <w:tcPr>
            <w:tcW w:type="dxa" w:w="3744"/>
            <w:vAlign w:val="center"/>
          </w:tcPr>
          <w:p>
            <w:pPr>
              <w:spacing w:after="60" w:before="60" w:line="240" w:lineRule="auto"/>
            </w:pPr>
            <w:r>
              <w:rPr>
                <w:rFonts w:ascii="Times New Roman" w:hAnsi="Times New Roman"/>
                <w:b w:val="0"/>
                <w:sz w:val="22"/>
              </w:rPr>
              <w:t>Өтініш беру жолы, мамандар міндеті, ата-анамен келісу және қайта қарау тәртібі.</w:t>
            </w:r>
          </w:p>
        </w:tc>
      </w:tr>
      <w:tr>
        <w:tc>
          <w:tcPr>
            <w:tcW w:type="dxa" w:w="2952"/>
            <w:vAlign w:val="center"/>
          </w:tcPr>
          <w:p>
            <w:pPr>
              <w:spacing w:after="60" w:before="60" w:line="240" w:lineRule="auto"/>
            </w:pPr>
            <w:r>
              <w:rPr>
                <w:rFonts w:ascii="Times New Roman" w:hAnsi="Times New Roman"/>
                <w:b w:val="0"/>
                <w:sz w:val="22"/>
              </w:rPr>
              <w:t>Қолжетімді оқу ресурстары қоры</w:t>
            </w:r>
          </w:p>
        </w:tc>
        <w:tc>
          <w:tcPr>
            <w:tcW w:type="dxa" w:w="2448"/>
            <w:vAlign w:val="center"/>
          </w:tcPr>
          <w:p>
            <w:pPr>
              <w:spacing w:after="60" w:before="60" w:line="240" w:lineRule="auto"/>
            </w:pPr>
            <w:r>
              <w:rPr>
                <w:rFonts w:ascii="Times New Roman" w:hAnsi="Times New Roman"/>
                <w:b w:val="0"/>
                <w:sz w:val="22"/>
              </w:rPr>
              <w:t>Әдістемелік бірлестік, кітапхана, ІТ маманы</w:t>
            </w:r>
          </w:p>
        </w:tc>
        <w:tc>
          <w:tcPr>
            <w:tcW w:type="dxa" w:w="3744"/>
            <w:vAlign w:val="center"/>
          </w:tcPr>
          <w:p>
            <w:pPr>
              <w:spacing w:after="60" w:before="60" w:line="240" w:lineRule="auto"/>
            </w:pPr>
            <w:r>
              <w:rPr>
                <w:rFonts w:ascii="Times New Roman" w:hAnsi="Times New Roman"/>
                <w:b w:val="0"/>
                <w:sz w:val="22"/>
              </w:rPr>
              <w:t>Мәтіннің оқылуы, файл құрылымы, субтитр, баламалы материал.</w:t>
            </w:r>
          </w:p>
        </w:tc>
      </w:tr>
      <w:tr>
        <w:tc>
          <w:tcPr>
            <w:tcW w:type="dxa" w:w="2952"/>
            <w:vAlign w:val="center"/>
          </w:tcPr>
          <w:p>
            <w:pPr>
              <w:spacing w:after="60" w:before="60" w:line="240" w:lineRule="auto"/>
            </w:pPr>
            <w:r>
              <w:rPr>
                <w:rFonts w:ascii="Times New Roman" w:hAnsi="Times New Roman"/>
                <w:b w:val="0"/>
                <w:sz w:val="22"/>
              </w:rPr>
              <w:t>Буллингке жауап беру және кері байланыс тәртібі</w:t>
            </w:r>
          </w:p>
        </w:tc>
        <w:tc>
          <w:tcPr>
            <w:tcW w:type="dxa" w:w="2448"/>
            <w:vAlign w:val="center"/>
          </w:tcPr>
          <w:p>
            <w:pPr>
              <w:spacing w:after="60" w:before="60" w:line="240" w:lineRule="auto"/>
            </w:pPr>
            <w:r>
              <w:rPr>
                <w:rFonts w:ascii="Times New Roman" w:hAnsi="Times New Roman"/>
                <w:b w:val="0"/>
                <w:sz w:val="22"/>
              </w:rPr>
              <w:t>Сынып жетекшісі, педагог-психолог</w:t>
            </w:r>
          </w:p>
        </w:tc>
        <w:tc>
          <w:tcPr>
            <w:tcW w:type="dxa" w:w="3744"/>
            <w:vAlign w:val="center"/>
          </w:tcPr>
          <w:p>
            <w:pPr>
              <w:spacing w:after="60" w:before="60" w:line="240" w:lineRule="auto"/>
            </w:pPr>
            <w:r>
              <w:rPr>
                <w:rFonts w:ascii="Times New Roman" w:hAnsi="Times New Roman"/>
                <w:b w:val="0"/>
                <w:sz w:val="22"/>
              </w:rPr>
              <w:t>Хабарлау арнасы, жедел әрекет, құпиялылық, оқушыға түсінікті байланыс.</w:t>
            </w:r>
          </w:p>
        </w:tc>
      </w:tr>
    </w:tbl>
    <w:p>
      <w:pPr>
        <w:pStyle w:val="21"/>
      </w:pPr>
      <w:r>
        <w:t>Жұмыс жоспары</w:t>
      </w:r>
    </w:p>
    <w:p>
      <w:pPr>
        <w:pStyle w:val="af"/>
        <w:spacing w:line="276" w:lineRule="auto" w:after="120"/>
        <w:ind w:firstLine="720"/>
        <w:jc w:val="both"/>
      </w:pPr>
      <w:r>
        <w:rPr>
          <w:lang w:val="kk-KZ"/>
        </w:rPr>
        <w:t>Жоспардың нәтижесі өткізілген іс-шара санымен ғана өлшенбейді. Оқушының қауіпсіз қозғала алуы, тапсырманы түсінуі, ортақ әрекетке қатысуы және көмек сұрау мүмкіндігі салыстырылады. Төмендегі мерзімдер — ұсынылатын іске асыру кестесі.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008"/>
        <w:gridCol w:w="3312"/>
        <w:gridCol w:w="2232"/>
        <w:gridCol w:w="2592"/>
      </w:tblGrid>
      <w:tr>
        <w:trPr>
          <w:tblHeader/>
        </w:trPr>
        <w:tc>
          <w:tcPr>
            <w:tcW w:type="dxa" w:w="1008"/>
            <w:vAlign w:val="center"/>
            <w:shd w:fill="EEEEEE"/>
          </w:tcPr>
          <w:p>
            <w:pPr>
              <w:spacing w:after="60" w:before="60" w:line="240" w:lineRule="auto"/>
            </w:pPr>
            <w:r>
              <w:rPr>
                <w:rFonts w:ascii="Times New Roman" w:hAnsi="Times New Roman"/>
                <w:b/>
                <w:sz w:val="22"/>
              </w:rPr>
              <w:t>Мерзім</w:t>
            </w:r>
          </w:p>
        </w:tc>
        <w:tc>
          <w:tcPr>
            <w:tcW w:type="dxa" w:w="3312"/>
            <w:vAlign w:val="center"/>
            <w:shd w:fill="EEEEEE"/>
          </w:tcPr>
          <w:p>
            <w:pPr>
              <w:spacing w:after="60" w:before="60" w:line="240" w:lineRule="auto"/>
            </w:pPr>
            <w:r>
              <w:rPr>
                <w:rFonts w:ascii="Times New Roman" w:hAnsi="Times New Roman"/>
                <w:b/>
                <w:sz w:val="22"/>
              </w:rPr>
              <w:t>Әрекет және ресурс</w:t>
            </w:r>
          </w:p>
        </w:tc>
        <w:tc>
          <w:tcPr>
            <w:tcW w:type="dxa" w:w="2232"/>
            <w:vAlign w:val="center"/>
            <w:shd w:fill="EEEEEE"/>
          </w:tcPr>
          <w:p>
            <w:pPr>
              <w:spacing w:after="60" w:before="60" w:line="240" w:lineRule="auto"/>
            </w:pPr>
            <w:r>
              <w:rPr>
                <w:rFonts w:ascii="Times New Roman" w:hAnsi="Times New Roman"/>
                <w:b/>
                <w:sz w:val="22"/>
              </w:rPr>
              <w:t>Жауаптылар</w:t>
            </w:r>
          </w:p>
        </w:tc>
        <w:tc>
          <w:tcPr>
            <w:tcW w:type="dxa" w:w="2592"/>
            <w:vAlign w:val="center"/>
            <w:shd w:fill="EEEEEE"/>
          </w:tcPr>
          <w:p>
            <w:pPr>
              <w:spacing w:after="60" w:before="60" w:line="240" w:lineRule="auto"/>
            </w:pPr>
            <w:r>
              <w:rPr>
                <w:rFonts w:ascii="Times New Roman" w:hAnsi="Times New Roman"/>
                <w:b/>
                <w:sz w:val="22"/>
              </w:rPr>
              <w:t>Нәтиже дәлелі</w:t>
            </w:r>
          </w:p>
        </w:tc>
      </w:tr>
      <w:tr>
        <w:tc>
          <w:tcPr>
            <w:tcW w:type="dxa" w:w="1008"/>
            <w:vAlign w:val="center"/>
          </w:tcPr>
          <w:p>
            <w:pPr>
              <w:spacing w:after="60" w:before="60" w:line="240" w:lineRule="auto"/>
            </w:pPr>
            <w:r>
              <w:rPr>
                <w:rFonts w:ascii="Times New Roman" w:hAnsi="Times New Roman"/>
                <w:b w:val="0"/>
                <w:sz w:val="22"/>
              </w:rPr>
              <w:t>1-апта, 1–2 күн</w:t>
            </w:r>
          </w:p>
        </w:tc>
        <w:tc>
          <w:tcPr>
            <w:tcW w:type="dxa" w:w="3312"/>
            <w:vAlign w:val="center"/>
          </w:tcPr>
          <w:p>
            <w:pPr>
              <w:spacing w:after="60" w:before="60" w:line="240" w:lineRule="auto"/>
            </w:pPr>
            <w:r>
              <w:rPr>
                <w:rFonts w:ascii="Times New Roman" w:hAnsi="Times New Roman"/>
                <w:b w:val="0"/>
                <w:sz w:val="22"/>
              </w:rPr>
              <w:t>Кіреберіс, сынып, қозғалу/шығу жолын қарау; қолжетімділік бақылау парағы.</w:t>
            </w:r>
          </w:p>
        </w:tc>
        <w:tc>
          <w:tcPr>
            <w:tcW w:type="dxa" w:w="2232"/>
            <w:vAlign w:val="center"/>
          </w:tcPr>
          <w:p>
            <w:pPr>
              <w:spacing w:after="60" w:before="60" w:line="240" w:lineRule="auto"/>
            </w:pPr>
            <w:r>
              <w:rPr>
                <w:rFonts w:ascii="Times New Roman" w:hAnsi="Times New Roman"/>
                <w:b w:val="0"/>
                <w:sz w:val="22"/>
              </w:rPr>
              <w:t>Әкімшілік, шаруашылық қызметі; оқушы/ата-ана пікірі.</w:t>
            </w:r>
          </w:p>
        </w:tc>
        <w:tc>
          <w:tcPr>
            <w:tcW w:type="dxa" w:w="2592"/>
            <w:vAlign w:val="center"/>
          </w:tcPr>
          <w:p>
            <w:pPr>
              <w:spacing w:after="60" w:before="60" w:line="240" w:lineRule="auto"/>
            </w:pPr>
            <w:r>
              <w:rPr>
                <w:rFonts w:ascii="Times New Roman" w:hAnsi="Times New Roman"/>
                <w:b w:val="0"/>
                <w:sz w:val="22"/>
              </w:rPr>
              <w:t>Орны мен әсері көрсетілген кедергілер тізімі; шұғыл қауіп бойынша шешім.</w:t>
            </w:r>
          </w:p>
        </w:tc>
      </w:tr>
      <w:tr>
        <w:tc>
          <w:tcPr>
            <w:tcW w:type="dxa" w:w="1008"/>
            <w:vAlign w:val="center"/>
          </w:tcPr>
          <w:p>
            <w:pPr>
              <w:spacing w:after="60" w:before="60" w:line="240" w:lineRule="auto"/>
            </w:pPr>
            <w:r>
              <w:rPr>
                <w:rFonts w:ascii="Times New Roman" w:hAnsi="Times New Roman"/>
                <w:b w:val="0"/>
                <w:sz w:val="22"/>
              </w:rPr>
              <w:t>1-апта, 3–5 күн</w:t>
            </w:r>
          </w:p>
        </w:tc>
        <w:tc>
          <w:tcPr>
            <w:tcW w:type="dxa" w:w="3312"/>
            <w:vAlign w:val="center"/>
          </w:tcPr>
          <w:p>
            <w:pPr>
              <w:spacing w:after="60" w:before="60" w:line="240" w:lineRule="auto"/>
            </w:pPr>
            <w:r>
              <w:rPr>
                <w:rFonts w:ascii="Times New Roman" w:hAnsi="Times New Roman"/>
                <w:b w:val="0"/>
                <w:sz w:val="22"/>
              </w:rPr>
              <w:t>Сабақтағы нұсқаулық пен материалды бағалау; қысқа бақылау, анонимді кері байланыс.</w:t>
            </w:r>
          </w:p>
        </w:tc>
        <w:tc>
          <w:tcPr>
            <w:tcW w:type="dxa" w:w="2232"/>
            <w:vAlign w:val="center"/>
          </w:tcPr>
          <w:p>
            <w:pPr>
              <w:spacing w:after="60" w:before="60" w:line="240" w:lineRule="auto"/>
            </w:pPr>
            <w:r>
              <w:rPr>
                <w:rFonts w:ascii="Times New Roman" w:hAnsi="Times New Roman"/>
                <w:b w:val="0"/>
                <w:sz w:val="22"/>
              </w:rPr>
              <w:t>Пән мұғалімдері, ППҚҚ.</w:t>
            </w:r>
          </w:p>
        </w:tc>
        <w:tc>
          <w:tcPr>
            <w:tcW w:type="dxa" w:w="2592"/>
            <w:vAlign w:val="center"/>
          </w:tcPr>
          <w:p>
            <w:pPr>
              <w:spacing w:after="60" w:before="60" w:line="240" w:lineRule="auto"/>
            </w:pPr>
            <w:r>
              <w:rPr>
                <w:rFonts w:ascii="Times New Roman" w:hAnsi="Times New Roman"/>
                <w:b w:val="0"/>
                <w:sz w:val="22"/>
              </w:rPr>
              <w:t>Түсінуге және жауап беруге кедергілер; бастапқы қатысу дерегі.</w:t>
            </w:r>
          </w:p>
        </w:tc>
      </w:tr>
      <w:tr>
        <w:tc>
          <w:tcPr>
            <w:tcW w:type="dxa" w:w="1008"/>
            <w:vAlign w:val="center"/>
          </w:tcPr>
          <w:p>
            <w:pPr>
              <w:spacing w:after="60" w:before="60" w:line="240" w:lineRule="auto"/>
            </w:pPr>
            <w:r>
              <w:rPr>
                <w:rFonts w:ascii="Times New Roman" w:hAnsi="Times New Roman"/>
                <w:b w:val="0"/>
                <w:sz w:val="22"/>
              </w:rPr>
              <w:t>2-апта</w:t>
            </w:r>
          </w:p>
        </w:tc>
        <w:tc>
          <w:tcPr>
            <w:tcW w:type="dxa" w:w="3312"/>
            <w:vAlign w:val="center"/>
          </w:tcPr>
          <w:p>
            <w:pPr>
              <w:spacing w:after="60" w:before="60" w:line="240" w:lineRule="auto"/>
            </w:pPr>
            <w:r>
              <w:rPr>
                <w:rFonts w:ascii="Times New Roman" w:hAnsi="Times New Roman"/>
                <w:b w:val="0"/>
                <w:sz w:val="22"/>
              </w:rPr>
              <w:t>Басымдықтарды келісу; қолжетімді ресурс дайындау; қажет құралға өтінім.</w:t>
            </w:r>
          </w:p>
        </w:tc>
        <w:tc>
          <w:tcPr>
            <w:tcW w:type="dxa" w:w="2232"/>
            <w:vAlign w:val="center"/>
          </w:tcPr>
          <w:p>
            <w:pPr>
              <w:spacing w:after="60" w:before="60" w:line="240" w:lineRule="auto"/>
            </w:pPr>
            <w:r>
              <w:rPr>
                <w:rFonts w:ascii="Times New Roman" w:hAnsi="Times New Roman"/>
                <w:b w:val="0"/>
                <w:sz w:val="22"/>
              </w:rPr>
              <w:t>Әкімшілік, мұғалім, ІТ маманы, ППҚҚ.</w:t>
            </w:r>
          </w:p>
        </w:tc>
        <w:tc>
          <w:tcPr>
            <w:tcW w:type="dxa" w:w="2592"/>
            <w:vAlign w:val="center"/>
          </w:tcPr>
          <w:p>
            <w:pPr>
              <w:spacing w:after="60" w:before="60" w:line="240" w:lineRule="auto"/>
            </w:pPr>
            <w:r>
              <w:rPr>
                <w:rFonts w:ascii="Times New Roman" w:hAnsi="Times New Roman"/>
                <w:b w:val="0"/>
                <w:sz w:val="22"/>
              </w:rPr>
              <w:t>Жауаптысы, мерзімі және ресурсы анықталған түзету тізімі.</w:t>
            </w:r>
          </w:p>
        </w:tc>
      </w:tr>
      <w:tr>
        <w:tc>
          <w:tcPr>
            <w:tcW w:type="dxa" w:w="1008"/>
            <w:vAlign w:val="center"/>
          </w:tcPr>
          <w:p>
            <w:pPr>
              <w:spacing w:after="60" w:before="60" w:line="240" w:lineRule="auto"/>
            </w:pPr>
            <w:r>
              <w:rPr>
                <w:rFonts w:ascii="Times New Roman" w:hAnsi="Times New Roman"/>
                <w:b w:val="0"/>
                <w:sz w:val="22"/>
              </w:rPr>
              <w:t>2–3-апта</w:t>
            </w:r>
          </w:p>
        </w:tc>
        <w:tc>
          <w:tcPr>
            <w:tcW w:type="dxa" w:w="3312"/>
            <w:vAlign w:val="center"/>
          </w:tcPr>
          <w:p>
            <w:pPr>
              <w:spacing w:after="60" w:before="60" w:line="240" w:lineRule="auto"/>
            </w:pPr>
            <w:r>
              <w:rPr>
                <w:rFonts w:ascii="Times New Roman" w:hAnsi="Times New Roman"/>
                <w:b w:val="0"/>
                <w:sz w:val="22"/>
              </w:rPr>
              <w:t>Сынып ережесін бірлесіп әзірлеу; буллингке хабарлау арнасын түсіндіру.</w:t>
            </w:r>
          </w:p>
        </w:tc>
        <w:tc>
          <w:tcPr>
            <w:tcW w:type="dxa" w:w="2232"/>
            <w:vAlign w:val="center"/>
          </w:tcPr>
          <w:p>
            <w:pPr>
              <w:spacing w:after="60" w:before="60" w:line="240" w:lineRule="auto"/>
            </w:pPr>
            <w:r>
              <w:rPr>
                <w:rFonts w:ascii="Times New Roman" w:hAnsi="Times New Roman"/>
                <w:b w:val="0"/>
                <w:sz w:val="22"/>
              </w:rPr>
              <w:t>Сынып жетекшісі, психолог, оқушылар кеңесі.</w:t>
            </w:r>
          </w:p>
        </w:tc>
        <w:tc>
          <w:tcPr>
            <w:tcW w:type="dxa" w:w="2592"/>
            <w:vAlign w:val="center"/>
          </w:tcPr>
          <w:p>
            <w:pPr>
              <w:spacing w:after="60" w:before="60" w:line="240" w:lineRule="auto"/>
            </w:pPr>
            <w:r>
              <w:rPr>
                <w:rFonts w:ascii="Times New Roman" w:hAnsi="Times New Roman"/>
                <w:b w:val="0"/>
                <w:sz w:val="22"/>
              </w:rPr>
              <w:t>Оқушылар ережені және көмек сұрау жолын өз сөзімен түсіндіреді.</w:t>
            </w:r>
          </w:p>
        </w:tc>
      </w:tr>
      <w:tr>
        <w:tc>
          <w:tcPr>
            <w:tcW w:type="dxa" w:w="1008"/>
            <w:vAlign w:val="center"/>
          </w:tcPr>
          <w:p>
            <w:pPr>
              <w:spacing w:after="60" w:before="60" w:line="240" w:lineRule="auto"/>
            </w:pPr>
            <w:r>
              <w:rPr>
                <w:rFonts w:ascii="Times New Roman" w:hAnsi="Times New Roman"/>
                <w:b w:val="0"/>
                <w:sz w:val="22"/>
              </w:rPr>
              <w:t>3-апта</w:t>
            </w:r>
          </w:p>
        </w:tc>
        <w:tc>
          <w:tcPr>
            <w:tcW w:type="dxa" w:w="3312"/>
            <w:vAlign w:val="center"/>
          </w:tcPr>
          <w:p>
            <w:pPr>
              <w:spacing w:after="60" w:before="60" w:line="240" w:lineRule="auto"/>
            </w:pPr>
            <w:r>
              <w:rPr>
                <w:rFonts w:ascii="Times New Roman" w:hAnsi="Times New Roman"/>
                <w:b w:val="0"/>
                <w:sz w:val="22"/>
              </w:rPr>
              <w:t>Бейімделген нұсқаулық пен бірнеше жауап тәсілін сабақта сынау; ата-анамен қысқа талқылау.</w:t>
            </w:r>
          </w:p>
        </w:tc>
        <w:tc>
          <w:tcPr>
            <w:tcW w:type="dxa" w:w="2232"/>
            <w:vAlign w:val="center"/>
          </w:tcPr>
          <w:p>
            <w:pPr>
              <w:spacing w:after="60" w:before="60" w:line="240" w:lineRule="auto"/>
            </w:pPr>
            <w:r>
              <w:rPr>
                <w:rFonts w:ascii="Times New Roman" w:hAnsi="Times New Roman"/>
                <w:b w:val="0"/>
                <w:sz w:val="22"/>
              </w:rPr>
              <w:t>Пән мұғалімі, қажет мамандар, ата-ана.</w:t>
            </w:r>
          </w:p>
        </w:tc>
        <w:tc>
          <w:tcPr>
            <w:tcW w:type="dxa" w:w="2592"/>
            <w:vAlign w:val="center"/>
          </w:tcPr>
          <w:p>
            <w:pPr>
              <w:spacing w:after="60" w:before="60" w:line="240" w:lineRule="auto"/>
            </w:pPr>
            <w:r>
              <w:rPr>
                <w:rFonts w:ascii="Times New Roman" w:hAnsi="Times New Roman"/>
                <w:b w:val="0"/>
                <w:sz w:val="22"/>
              </w:rPr>
              <w:t>Орындалған жұмыс, қолданылған көмек және сақталған қиындық жазбасы.</w:t>
            </w:r>
          </w:p>
        </w:tc>
      </w:tr>
      <w:tr>
        <w:tc>
          <w:tcPr>
            <w:tcW w:type="dxa" w:w="1008"/>
            <w:vAlign w:val="center"/>
          </w:tcPr>
          <w:p>
            <w:pPr>
              <w:spacing w:after="60" w:before="60" w:line="240" w:lineRule="auto"/>
            </w:pPr>
            <w:r>
              <w:rPr>
                <w:rFonts w:ascii="Times New Roman" w:hAnsi="Times New Roman"/>
                <w:b w:val="0"/>
                <w:sz w:val="22"/>
              </w:rPr>
              <w:t>4-апта</w:t>
            </w:r>
          </w:p>
        </w:tc>
        <w:tc>
          <w:tcPr>
            <w:tcW w:type="dxa" w:w="3312"/>
            <w:vAlign w:val="center"/>
          </w:tcPr>
          <w:p>
            <w:pPr>
              <w:spacing w:after="60" w:before="60" w:line="240" w:lineRule="auto"/>
            </w:pPr>
            <w:r>
              <w:rPr>
                <w:rFonts w:ascii="Times New Roman" w:hAnsi="Times New Roman"/>
                <w:b w:val="0"/>
                <w:sz w:val="22"/>
              </w:rPr>
              <w:t>Бастапқы және кейінгі деректі салыстыру; оқушы/отбасы пікірін жинау; жоспарды жаңарту.</w:t>
            </w:r>
          </w:p>
        </w:tc>
        <w:tc>
          <w:tcPr>
            <w:tcW w:type="dxa" w:w="2232"/>
            <w:vAlign w:val="center"/>
          </w:tcPr>
          <w:p>
            <w:pPr>
              <w:spacing w:after="60" w:before="60" w:line="240" w:lineRule="auto"/>
            </w:pPr>
            <w:r>
              <w:rPr>
                <w:rFonts w:ascii="Times New Roman" w:hAnsi="Times New Roman"/>
                <w:b w:val="0"/>
                <w:sz w:val="22"/>
              </w:rPr>
              <w:t>ППҚҚ үйлестірушісі, мұғалімдер, әкімшілік.</w:t>
            </w:r>
          </w:p>
        </w:tc>
        <w:tc>
          <w:tcPr>
            <w:tcW w:type="dxa" w:w="2592"/>
            <w:vAlign w:val="center"/>
          </w:tcPr>
          <w:p>
            <w:pPr>
              <w:spacing w:after="60" w:before="60" w:line="240" w:lineRule="auto"/>
            </w:pPr>
            <w:r>
              <w:rPr>
                <w:rFonts w:ascii="Times New Roman" w:hAnsi="Times New Roman"/>
                <w:b w:val="0"/>
                <w:sz w:val="22"/>
              </w:rPr>
              <w:t>Нәтижелі қолдау сақталады; шешілмеген кедергіге келесі қадам белгіленеді.</w:t>
            </w:r>
          </w:p>
        </w:tc>
      </w:tr>
    </w:tbl>
    <w:p>
      <w:pPr>
        <w:pStyle w:val="af"/>
        <w:spacing w:line="276" w:lineRule="auto" w:after="120"/>
        <w:ind w:firstLine="720"/>
        <w:jc w:val="both"/>
      </w:pPr>
      <w:r>
        <w:rPr>
          <w:lang w:val="kk-KZ"/>
        </w:rPr>
        <w:t>Ресурстар: бақылау парағы, қолжетімді электрондық материал, тыныш жұмыс орны, сыныптың ортақ ережесі, мамандардың жұмыс уақыты. Құрылыс немесе жабдықтау қажет болғанда құны мен техникалық шешімі бөлек нақтыланады; бұл жоспарда тексерілмеген сома көрсетілмейді.</w:t>
      </w:r>
    </w:p>
    <w:p>
      <w:pPr>
        <w:pStyle w:val="1"/>
      </w:pPr>
      <w:r>
        <w:t>5. Ата-аналардың қатысуы</w:t>
      </w:r>
    </w:p>
    <w:p>
      <w:pPr>
        <w:pStyle w:val="af"/>
        <w:spacing w:line="276" w:lineRule="auto" w:after="120"/>
        <w:ind w:firstLine="720"/>
        <w:jc w:val="both"/>
      </w:pPr>
      <w:r>
        <w:rPr>
          <w:lang w:val="kk-KZ"/>
        </w:rPr>
        <w:t>Ата-ана баланың күнделікті әрекеті, тиімді қарым-қатынас тәсілі және мазасыздандыратын жағдайлар туралы маңызды ақпарат береді. Алғашқы әңгімеде баланың күшті жақтары, қызығушылығы және отбасы күткені сұралады. Мектеп ата-анаға түсінікті тілмен қолдау мақсатын, кім жауап беретінін және нәтижені қалай талқылайтынын түсіндіреді. Келіспеушілік болғанда тараптар нақты тапсырма мен бақылау дерегіне сүйеніп, балама әрекеттерді қарастырады.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872"/>
        <w:gridCol w:w="3672"/>
        <w:gridCol w:w="3600"/>
      </w:tblGrid>
      <w:tr>
        <w:trPr>
          <w:tblHeader/>
        </w:trPr>
        <w:tc>
          <w:tcPr>
            <w:tcW w:type="dxa" w:w="1872"/>
            <w:vAlign w:val="center"/>
            <w:shd w:fill="EEEEEE"/>
          </w:tcPr>
          <w:p>
            <w:pPr>
              <w:spacing w:after="60" w:before="60" w:line="240" w:lineRule="auto"/>
            </w:pPr>
            <w:r>
              <w:rPr>
                <w:rFonts w:ascii="Times New Roman" w:hAnsi="Times New Roman"/>
                <w:b/>
                <w:sz w:val="22"/>
              </w:rPr>
              <w:t>Қатысу тетігі</w:t>
            </w:r>
          </w:p>
        </w:tc>
        <w:tc>
          <w:tcPr>
            <w:tcW w:type="dxa" w:w="3672"/>
            <w:vAlign w:val="center"/>
            <w:shd w:fill="EEEEEE"/>
          </w:tcPr>
          <w:p>
            <w:pPr>
              <w:spacing w:after="60" w:before="60" w:line="240" w:lineRule="auto"/>
            </w:pPr>
            <w:r>
              <w:rPr>
                <w:rFonts w:ascii="Times New Roman" w:hAnsi="Times New Roman"/>
                <w:b/>
                <w:sz w:val="22"/>
              </w:rPr>
              <w:t>Нақты ұйымдастыру</w:t>
            </w:r>
          </w:p>
        </w:tc>
        <w:tc>
          <w:tcPr>
            <w:tcW w:type="dxa" w:w="3600"/>
            <w:vAlign w:val="center"/>
            <w:shd w:fill="EEEEEE"/>
          </w:tcPr>
          <w:p>
            <w:pPr>
              <w:spacing w:after="60" w:before="60" w:line="240" w:lineRule="auto"/>
            </w:pPr>
            <w:r>
              <w:rPr>
                <w:rFonts w:ascii="Times New Roman" w:hAnsi="Times New Roman"/>
                <w:b/>
                <w:sz w:val="22"/>
              </w:rPr>
              <w:t>Маңызды шарт</w:t>
            </w:r>
          </w:p>
        </w:tc>
      </w:tr>
      <w:tr>
        <w:tc>
          <w:tcPr>
            <w:tcW w:type="dxa" w:w="1872"/>
            <w:vAlign w:val="center"/>
          </w:tcPr>
          <w:p>
            <w:pPr>
              <w:spacing w:after="60" w:before="60" w:line="240" w:lineRule="auto"/>
            </w:pPr>
            <w:r>
              <w:rPr>
                <w:rFonts w:ascii="Times New Roman" w:hAnsi="Times New Roman"/>
                <w:b w:val="0"/>
                <w:sz w:val="22"/>
              </w:rPr>
              <w:t>Бастапқы әңгіме</w:t>
            </w:r>
          </w:p>
        </w:tc>
        <w:tc>
          <w:tcPr>
            <w:tcW w:type="dxa" w:w="3672"/>
            <w:vAlign w:val="center"/>
          </w:tcPr>
          <w:p>
            <w:pPr>
              <w:spacing w:after="60" w:before="60" w:line="240" w:lineRule="auto"/>
            </w:pPr>
            <w:r>
              <w:rPr>
                <w:rFonts w:ascii="Times New Roman" w:hAnsi="Times New Roman"/>
                <w:b w:val="0"/>
                <w:sz w:val="22"/>
              </w:rPr>
              <w:t>Жеке кездесуде 3 сұрақ: не жақсы шығады; не қиын; қандай көмек пайдалы?</w:t>
            </w:r>
          </w:p>
        </w:tc>
        <w:tc>
          <w:tcPr>
            <w:tcW w:type="dxa" w:w="3600"/>
            <w:vAlign w:val="center"/>
          </w:tcPr>
          <w:p>
            <w:pPr>
              <w:spacing w:after="60" w:before="60" w:line="240" w:lineRule="auto"/>
            </w:pPr>
            <w:r>
              <w:rPr>
                <w:rFonts w:ascii="Times New Roman" w:hAnsi="Times New Roman"/>
                <w:b w:val="0"/>
                <w:sz w:val="22"/>
              </w:rPr>
              <w:t>Отбасын кінәламау; деректі тек қажетті мамандарға беру.</w:t>
            </w:r>
          </w:p>
        </w:tc>
      </w:tr>
      <w:tr>
        <w:tc>
          <w:tcPr>
            <w:tcW w:type="dxa" w:w="1872"/>
            <w:vAlign w:val="center"/>
          </w:tcPr>
          <w:p>
            <w:pPr>
              <w:spacing w:after="60" w:before="60" w:line="240" w:lineRule="auto"/>
            </w:pPr>
            <w:r>
              <w:rPr>
                <w:rFonts w:ascii="Times New Roman" w:hAnsi="Times New Roman"/>
                <w:b w:val="0"/>
                <w:sz w:val="22"/>
              </w:rPr>
              <w:t>Қолдау мақсатын келісу</w:t>
            </w:r>
          </w:p>
        </w:tc>
        <w:tc>
          <w:tcPr>
            <w:tcW w:type="dxa" w:w="3672"/>
            <w:vAlign w:val="center"/>
          </w:tcPr>
          <w:p>
            <w:pPr>
              <w:spacing w:after="60" w:before="60" w:line="240" w:lineRule="auto"/>
            </w:pPr>
            <w:r>
              <w:rPr>
                <w:rFonts w:ascii="Times New Roman" w:hAnsi="Times New Roman"/>
                <w:b w:val="0"/>
                <w:sz w:val="22"/>
              </w:rPr>
              <w:t>Бір немесе екі бақыланатын мақсатты таңдау, қайта қарау күнін белгілеу.</w:t>
            </w:r>
          </w:p>
        </w:tc>
        <w:tc>
          <w:tcPr>
            <w:tcW w:type="dxa" w:w="3600"/>
            <w:vAlign w:val="center"/>
          </w:tcPr>
          <w:p>
            <w:pPr>
              <w:spacing w:after="60" w:before="60" w:line="240" w:lineRule="auto"/>
            </w:pPr>
            <w:r>
              <w:rPr>
                <w:rFonts w:ascii="Times New Roman" w:hAnsi="Times New Roman"/>
                <w:b w:val="0"/>
                <w:sz w:val="22"/>
              </w:rPr>
              <w:t>Ата-ананың келісімі; мектеп міндетін отбасыға толық жүктемеу.</w:t>
            </w:r>
          </w:p>
        </w:tc>
      </w:tr>
      <w:tr>
        <w:tc>
          <w:tcPr>
            <w:tcW w:type="dxa" w:w="1872"/>
            <w:vAlign w:val="center"/>
          </w:tcPr>
          <w:p>
            <w:pPr>
              <w:spacing w:after="60" w:before="60" w:line="240" w:lineRule="auto"/>
            </w:pPr>
            <w:r>
              <w:rPr>
                <w:rFonts w:ascii="Times New Roman" w:hAnsi="Times New Roman"/>
                <w:b w:val="0"/>
                <w:sz w:val="22"/>
              </w:rPr>
              <w:t>Қолжетімді кері байланыс</w:t>
            </w:r>
          </w:p>
        </w:tc>
        <w:tc>
          <w:tcPr>
            <w:tcW w:type="dxa" w:w="3672"/>
            <w:vAlign w:val="center"/>
          </w:tcPr>
          <w:p>
            <w:pPr>
              <w:spacing w:after="60" w:before="60" w:line="240" w:lineRule="auto"/>
            </w:pPr>
            <w:r>
              <w:rPr>
                <w:rFonts w:ascii="Times New Roman" w:hAnsi="Times New Roman"/>
                <w:b w:val="0"/>
                <w:sz w:val="22"/>
              </w:rPr>
              <w:t>Кездесу, телефон немесе келісілген мәтіндік арна; қысқа әрі нақты жазба.</w:t>
            </w:r>
          </w:p>
        </w:tc>
        <w:tc>
          <w:tcPr>
            <w:tcW w:type="dxa" w:w="3600"/>
            <w:vAlign w:val="center"/>
          </w:tcPr>
          <w:p>
            <w:pPr>
              <w:spacing w:after="60" w:before="60" w:line="240" w:lineRule="auto"/>
            </w:pPr>
            <w:r>
              <w:rPr>
                <w:rFonts w:ascii="Times New Roman" w:hAnsi="Times New Roman"/>
                <w:b w:val="0"/>
                <w:sz w:val="22"/>
              </w:rPr>
              <w:t>Тіл, уақыт және цифрлық қолжетімділік ерекшелігін ескеру.</w:t>
            </w:r>
          </w:p>
        </w:tc>
      </w:tr>
      <w:tr>
        <w:tc>
          <w:tcPr>
            <w:tcW w:type="dxa" w:w="1872"/>
            <w:vAlign w:val="center"/>
          </w:tcPr>
          <w:p>
            <w:pPr>
              <w:spacing w:after="60" w:before="60" w:line="240" w:lineRule="auto"/>
            </w:pPr>
            <w:r>
              <w:rPr>
                <w:rFonts w:ascii="Times New Roman" w:hAnsi="Times New Roman"/>
                <w:b w:val="0"/>
                <w:sz w:val="22"/>
              </w:rPr>
              <w:t>Орта туралы пікір</w:t>
            </w:r>
          </w:p>
        </w:tc>
        <w:tc>
          <w:tcPr>
            <w:tcW w:type="dxa" w:w="3672"/>
            <w:vAlign w:val="center"/>
          </w:tcPr>
          <w:p>
            <w:pPr>
              <w:spacing w:after="60" w:before="60" w:line="240" w:lineRule="auto"/>
            </w:pPr>
            <w:r>
              <w:rPr>
                <w:rFonts w:ascii="Times New Roman" w:hAnsi="Times New Roman"/>
                <w:b w:val="0"/>
                <w:sz w:val="22"/>
              </w:rPr>
              <w:t>Қозғалу, материал және қарым-қатынас кедергісі туралы ұсынысты тіркеу.</w:t>
            </w:r>
          </w:p>
        </w:tc>
        <w:tc>
          <w:tcPr>
            <w:tcW w:type="dxa" w:w="3600"/>
            <w:vAlign w:val="center"/>
          </w:tcPr>
          <w:p>
            <w:pPr>
              <w:spacing w:after="60" w:before="60" w:line="240" w:lineRule="auto"/>
            </w:pPr>
            <w:r>
              <w:rPr>
                <w:rFonts w:ascii="Times New Roman" w:hAnsi="Times New Roman"/>
                <w:b w:val="0"/>
                <w:sz w:val="22"/>
              </w:rPr>
              <w:t>Ұсынысқа жауап беру; баланың деректерін топтық чатта жарияламау.</w:t>
            </w:r>
          </w:p>
        </w:tc>
      </w:tr>
    </w:tbl>
    <w:p>
      <w:pPr>
        <w:pStyle w:val="af"/>
        <w:spacing w:line="276" w:lineRule="auto" w:after="120"/>
        <w:ind w:firstLine="720"/>
        <w:jc w:val="both"/>
      </w:pPr>
      <w:r>
        <w:rPr>
          <w:lang w:val="kk-KZ"/>
        </w:rPr>
        <w:t>Мысалы, отбасы бала ұзақ ауызша нұсқаулықтан кейін тапсырманы бастай алмайтынын айтса, мұғалім нұсқаулықты үш қадамға бөледі және оқушыдан алғашқы қадамды көрсетуін сұрайды. Ата-анамен талқылау «бала мұқият емес» деген бағалауға емес, қандай өзгеріс тапсырманы түсінуге көмектескеніне негізделеді.</w:t>
      </w:r>
    </w:p>
    <w:p>
      <w:pPr>
        <w:pStyle w:val="1"/>
      </w:pPr>
      <w:r>
        <w:t>6. Оқушыларды орта құруға қосу</w:t>
      </w:r>
    </w:p>
    <w:p>
      <w:pPr>
        <w:pStyle w:val="af"/>
        <w:spacing w:line="276" w:lineRule="auto" w:after="120"/>
        <w:ind w:firstLine="720"/>
        <w:jc w:val="both"/>
      </w:pPr>
      <w:r>
        <w:rPr>
          <w:lang w:val="kk-KZ"/>
        </w:rPr>
        <w:t>Оқушы орта туралы пікір білдіруге және өзіне қатысты шешімді талқылауға қатысады. Пікірді тек ұзақ сауалнама арқылы жинау міндетті емес: қысқа әңгіме, таңдау карточкасы, сурет немесе қолжетімді электрондық нысан ұсынылады. Топтық талқылауда жеке диагноз не құпия мәлімет сұралмайды. Оқушылар ережені бірлесіп құрып, көмек көрсету мен біреудің орнына орындаудың айырмасын түсінеді.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512"/>
        <w:gridCol w:w="3816"/>
        <w:gridCol w:w="3816"/>
      </w:tblGrid>
      <w:tr>
        <w:trPr>
          <w:tblHeader/>
        </w:trPr>
        <w:tc>
          <w:tcPr>
            <w:tcW w:type="dxa" w:w="1512"/>
            <w:vAlign w:val="center"/>
            <w:shd w:fill="EEEEEE"/>
          </w:tcPr>
          <w:p>
            <w:pPr>
              <w:spacing w:after="60" w:before="60" w:line="240" w:lineRule="auto"/>
            </w:pPr>
            <w:r>
              <w:rPr>
                <w:rFonts w:ascii="Times New Roman" w:hAnsi="Times New Roman"/>
                <w:b/>
                <w:sz w:val="22"/>
              </w:rPr>
              <w:t>Қадам</w:t>
            </w:r>
          </w:p>
        </w:tc>
        <w:tc>
          <w:tcPr>
            <w:tcW w:type="dxa" w:w="3816"/>
            <w:vAlign w:val="center"/>
            <w:shd w:fill="EEEEEE"/>
          </w:tcPr>
          <w:p>
            <w:pPr>
              <w:spacing w:after="60" w:before="60" w:line="240" w:lineRule="auto"/>
            </w:pPr>
            <w:r>
              <w:rPr>
                <w:rFonts w:ascii="Times New Roman" w:hAnsi="Times New Roman"/>
                <w:b/>
                <w:sz w:val="22"/>
              </w:rPr>
              <w:t>Оқушының әрекеті</w:t>
            </w:r>
          </w:p>
        </w:tc>
        <w:tc>
          <w:tcPr>
            <w:tcW w:type="dxa" w:w="3816"/>
            <w:vAlign w:val="center"/>
            <w:shd w:fill="EEEEEE"/>
          </w:tcPr>
          <w:p>
            <w:pPr>
              <w:spacing w:after="60" w:before="60" w:line="240" w:lineRule="auto"/>
            </w:pPr>
            <w:r>
              <w:rPr>
                <w:rFonts w:ascii="Times New Roman" w:hAnsi="Times New Roman"/>
                <w:b/>
                <w:sz w:val="22"/>
              </w:rPr>
              <w:t>Мұғалімнің қолдауы</w:t>
            </w:r>
          </w:p>
        </w:tc>
      </w:tr>
      <w:tr>
        <w:tc>
          <w:tcPr>
            <w:tcW w:type="dxa" w:w="1512"/>
            <w:vAlign w:val="center"/>
          </w:tcPr>
          <w:p>
            <w:pPr>
              <w:spacing w:after="60" w:before="60" w:line="240" w:lineRule="auto"/>
            </w:pPr>
            <w:r>
              <w:rPr>
                <w:rFonts w:ascii="Times New Roman" w:hAnsi="Times New Roman"/>
                <w:b w:val="0"/>
                <w:sz w:val="22"/>
              </w:rPr>
              <w:t>Пікір жинау</w:t>
            </w:r>
          </w:p>
        </w:tc>
        <w:tc>
          <w:tcPr>
            <w:tcW w:type="dxa" w:w="3816"/>
            <w:vAlign w:val="center"/>
          </w:tcPr>
          <w:p>
            <w:pPr>
              <w:spacing w:after="60" w:before="60" w:line="240" w:lineRule="auto"/>
            </w:pPr>
            <w:r>
              <w:rPr>
                <w:rFonts w:ascii="Times New Roman" w:hAnsi="Times New Roman"/>
                <w:b w:val="0"/>
                <w:sz w:val="22"/>
              </w:rPr>
              <w:t>«Қай жерде оқу оңай? Қай жерде қиын? Не өзгертеміз?» сұрақтарына қолайлы тәсілмен жауап беру.</w:t>
            </w:r>
          </w:p>
        </w:tc>
        <w:tc>
          <w:tcPr>
            <w:tcW w:type="dxa" w:w="3816"/>
            <w:vAlign w:val="center"/>
          </w:tcPr>
          <w:p>
            <w:pPr>
              <w:spacing w:after="60" w:before="60" w:line="240" w:lineRule="auto"/>
            </w:pPr>
            <w:r>
              <w:rPr>
                <w:rFonts w:ascii="Times New Roman" w:hAnsi="Times New Roman"/>
                <w:b w:val="0"/>
                <w:sz w:val="22"/>
              </w:rPr>
              <w:t>Жауаптың бірнеше тәсілі, қауіпсіз әңгіме, сөзін бөлмей тыңдау.</w:t>
            </w:r>
          </w:p>
        </w:tc>
      </w:tr>
      <w:tr>
        <w:tc>
          <w:tcPr>
            <w:tcW w:type="dxa" w:w="1512"/>
            <w:vAlign w:val="center"/>
          </w:tcPr>
          <w:p>
            <w:pPr>
              <w:spacing w:after="60" w:before="60" w:line="240" w:lineRule="auto"/>
            </w:pPr>
            <w:r>
              <w:rPr>
                <w:rFonts w:ascii="Times New Roman" w:hAnsi="Times New Roman"/>
                <w:b w:val="0"/>
                <w:sz w:val="22"/>
              </w:rPr>
              <w:t>Ортақ шешім</w:t>
            </w:r>
          </w:p>
        </w:tc>
        <w:tc>
          <w:tcPr>
            <w:tcW w:type="dxa" w:w="3816"/>
            <w:vAlign w:val="center"/>
          </w:tcPr>
          <w:p>
            <w:pPr>
              <w:spacing w:after="60" w:before="60" w:line="240" w:lineRule="auto"/>
            </w:pPr>
            <w:r>
              <w:rPr>
                <w:rFonts w:ascii="Times New Roman" w:hAnsi="Times New Roman"/>
                <w:b w:val="0"/>
                <w:sz w:val="22"/>
              </w:rPr>
              <w:t>Сынып ережесіне ұсыныс айту; өзгерістің басымдығын талқылау.</w:t>
            </w:r>
          </w:p>
        </w:tc>
        <w:tc>
          <w:tcPr>
            <w:tcW w:type="dxa" w:w="3816"/>
            <w:vAlign w:val="center"/>
          </w:tcPr>
          <w:p>
            <w:pPr>
              <w:spacing w:after="60" w:before="60" w:line="240" w:lineRule="auto"/>
            </w:pPr>
            <w:r>
              <w:rPr>
                <w:rFonts w:ascii="Times New Roman" w:hAnsi="Times New Roman"/>
                <w:b w:val="0"/>
                <w:sz w:val="22"/>
              </w:rPr>
              <w:t>Құрметті тіл; ешкімді мәжбүрлемеу; ұсыныстың іске асуын түсіндіру.</w:t>
            </w:r>
          </w:p>
        </w:tc>
      </w:tr>
      <w:tr>
        <w:tc>
          <w:tcPr>
            <w:tcW w:type="dxa" w:w="1512"/>
            <w:vAlign w:val="center"/>
          </w:tcPr>
          <w:p>
            <w:pPr>
              <w:spacing w:after="60" w:before="60" w:line="240" w:lineRule="auto"/>
            </w:pPr>
            <w:r>
              <w:rPr>
                <w:rFonts w:ascii="Times New Roman" w:hAnsi="Times New Roman"/>
                <w:b w:val="0"/>
                <w:sz w:val="22"/>
              </w:rPr>
              <w:t>Қатысу рөлі</w:t>
            </w:r>
          </w:p>
        </w:tc>
        <w:tc>
          <w:tcPr>
            <w:tcW w:type="dxa" w:w="3816"/>
            <w:vAlign w:val="center"/>
          </w:tcPr>
          <w:p>
            <w:pPr>
              <w:spacing w:after="60" w:before="60" w:line="240" w:lineRule="auto"/>
            </w:pPr>
            <w:r>
              <w:rPr>
                <w:rFonts w:ascii="Times New Roman" w:hAnsi="Times New Roman"/>
                <w:b w:val="0"/>
                <w:sz w:val="22"/>
              </w:rPr>
              <w:t>Жұптық жұмыста түсіндіру, тексеру немесе материалды дайындау рөлін таңдау.</w:t>
            </w:r>
          </w:p>
        </w:tc>
        <w:tc>
          <w:tcPr>
            <w:tcW w:type="dxa" w:w="3816"/>
            <w:vAlign w:val="center"/>
          </w:tcPr>
          <w:p>
            <w:pPr>
              <w:spacing w:after="60" w:before="60" w:line="240" w:lineRule="auto"/>
            </w:pPr>
            <w:r>
              <w:rPr>
                <w:rFonts w:ascii="Times New Roman" w:hAnsi="Times New Roman"/>
                <w:b w:val="0"/>
                <w:sz w:val="22"/>
              </w:rPr>
              <w:t>Рөлдерді алмастыру; көмек сұрау мүмкіндігі; оқушы дербестігін сақтау.</w:t>
            </w:r>
          </w:p>
        </w:tc>
      </w:tr>
      <w:tr>
        <w:tc>
          <w:tcPr>
            <w:tcW w:type="dxa" w:w="1512"/>
            <w:vAlign w:val="center"/>
          </w:tcPr>
          <w:p>
            <w:pPr>
              <w:spacing w:after="60" w:before="60" w:line="240" w:lineRule="auto"/>
            </w:pPr>
            <w:r>
              <w:rPr>
                <w:rFonts w:ascii="Times New Roman" w:hAnsi="Times New Roman"/>
                <w:b w:val="0"/>
                <w:sz w:val="22"/>
              </w:rPr>
              <w:t>Қайта бағалау</w:t>
            </w:r>
          </w:p>
        </w:tc>
        <w:tc>
          <w:tcPr>
            <w:tcW w:type="dxa" w:w="3816"/>
            <w:vAlign w:val="center"/>
          </w:tcPr>
          <w:p>
            <w:pPr>
              <w:spacing w:after="60" w:before="60" w:line="240" w:lineRule="auto"/>
            </w:pPr>
            <w:r>
              <w:rPr>
                <w:rFonts w:ascii="Times New Roman" w:hAnsi="Times New Roman"/>
                <w:b w:val="0"/>
                <w:sz w:val="22"/>
              </w:rPr>
              <w:t>Өзгерістен кейін не жеңілдегенін және не қиын қалғанын айту.</w:t>
            </w:r>
          </w:p>
        </w:tc>
        <w:tc>
          <w:tcPr>
            <w:tcW w:type="dxa" w:w="3816"/>
            <w:vAlign w:val="center"/>
          </w:tcPr>
          <w:p>
            <w:pPr>
              <w:spacing w:after="60" w:before="60" w:line="240" w:lineRule="auto"/>
            </w:pPr>
            <w:r>
              <w:rPr>
                <w:rFonts w:ascii="Times New Roman" w:hAnsi="Times New Roman"/>
                <w:b w:val="0"/>
                <w:sz w:val="22"/>
              </w:rPr>
              <w:t>Жауапқа сүйеніп әрекетті өзгерту; нәтижені сыныпқа түсінікті түрде жеткізу.</w:t>
            </w:r>
          </w:p>
        </w:tc>
      </w:tr>
    </w:tbl>
    <w:p>
      <w:pPr>
        <w:pStyle w:val="1"/>
      </w:pPr>
      <w:r>
        <w:t>Қорытынды</w:t>
      </w:r>
    </w:p>
    <w:p>
      <w:pPr>
        <w:pStyle w:val="af"/>
        <w:spacing w:line="276" w:lineRule="auto" w:after="120"/>
        <w:ind w:firstLine="720"/>
        <w:jc w:val="both"/>
      </w:pPr>
      <w:r>
        <w:rPr>
          <w:lang w:val="kk-KZ"/>
        </w:rPr>
        <w:t>Жоспар мектеп ортасын бірге бағалау, нақты кедергіні азайту және өзгеріс нәтижесін қайта қарау қағидасына негізделді. Әкімшілік ресурс пен қауіпсіздікке, мұғалім қолжетімді оқытуға, ППҚҚ арнайы қолдауды үйлестіруге жауап береді. Ата-ана мен оқушының пікірі осы шешімдерге мазмұн береді. Тұрақты нәтиже үшін әр іс-шараның жауаптысы, мерзімі және дәлелі болуы керек.</w:t>
      </w:r>
    </w:p>
    <w:p>
      <w:r>
        <w:br w:type="page"/>
      </w:r>
    </w:p>
    <w:p>
      <w:pPr>
        <w:pStyle w:val="1"/>
      </w:pPr>
      <w:r>
        <w:t>Пайдаланылған әдебиеттер</w:t>
      </w:r>
    </w:p>
    <w:p>
      <w:pPr>
        <w:spacing w:after="120"/>
        <w:jc w:val="left"/>
      </w:pPr>
      <w:r>
        <w:rPr>
          <w:sz w:val="22"/>
        </w:rPr>
        <w:t>1. Ерекше білім беру қажеттіліктерін бағалау қағидаларын және бағдарламаларын бекіту туралы. 12.01.2022 №4 бұйрық. URL: https://old.adilet.zan.kz/kaz/docs/V2200026618/compare</w:t>
      </w:r>
    </w:p>
    <w:p>
      <w:pPr>
        <w:spacing w:after="120"/>
        <w:jc w:val="left"/>
      </w:pPr>
      <w:r>
        <w:rPr>
          <w:sz w:val="22"/>
        </w:rPr>
        <w:t>2. Білім беру ұйымдарындағы психологиялық-педагогикалық қолдау қызметінің жұмыс істеу қағидаларын бекіту туралы. 29.04.2025 №92 бұйрық. URL: https://old.adilet.zan.kz/kaz/docs/V2500036047</w:t>
      </w:r>
    </w:p>
    <w:p>
      <w:pPr>
        <w:spacing w:after="120"/>
        <w:jc w:val="left"/>
      </w:pPr>
      <w:r>
        <w:rPr>
          <w:sz w:val="22"/>
        </w:rPr>
        <w:t>3. Ы. Алтынсарин атындағы Ұлттық білім академиясы. Инклюзивті білім берудің негізгі аспектілерін дамыту бойынша (мәдениет, саясат, практика) әдістемелік ұсынымдар. 2024. URL: https://uba.edu.kz/storage/app/media/INKLUZIA%20%20RUS%20%20RUS%20%20RUS%20%2029.03.2024.pdf</w:t>
      </w:r>
    </w:p>
    <w:p>
      <w:pPr>
        <w:spacing w:after="120"/>
        <w:jc w:val="left"/>
      </w:pPr>
      <w:r>
        <w:rPr>
          <w:sz w:val="22"/>
        </w:rPr>
        <w:t>4. CAST. UDL Guidelines, version 3.0. 2024. URL: https://udlguidelines.cast.org/</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4-апта БӨЖ</dc:title>
  <dc:subject>Қауіпсіз және жайлы инклюзивті оқу ортасын құру жоспары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