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БӨЖ6</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ЕБҚ бар оқушылар санаты, ПМПК және ерте жастан сапалы білім</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Ерекше білім беру қажеттіліктері бар оқушылар санаты</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ПМПК-ның негізгі функциялары мен міндеттері</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ЕБҚ бар балалардың ерте жастан сапалы білім алуы</w:t>
            <w:tab/>
            <w:t>8</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9</w:t>
          </w:r>
        </w:p>
      </w:sdtContent>
    </w:sdt>
    <w:p>
      <w:pPr>
        <w:pStyle w:val="1"/>
        <w:pageBreakBefore/>
      </w:pPr>
      <w:r>
        <w:t>1. Ерекше білім беру қажеттіліктері бар оқушылар санаты</w:t>
      </w:r>
    </w:p>
    <w:p>
      <w:pPr>
        <w:pStyle w:val="af"/>
        <w:spacing w:line="276" w:lineRule="auto" w:after="120"/>
        <w:ind w:firstLine="720"/>
        <w:jc w:val="both"/>
      </w:pPr>
      <w:r>
        <w:rPr>
          <w:lang w:val="kk-KZ"/>
        </w:rPr>
        <w:t>Ерекше білім беру қажеттілігі (ЕБҚ) — тиісті деңгейде білім алу үшін арнаулы жағдайға тұрақты немесе уақытша қажеттілік. Бағалау баланы бір атаумен сипаттау үшін емес, оның оқуына қандай жағдай керегін анықтау үшін жүргізіледі. Төмендегі нормативтік жіктеу №4 бұйрықтың 1-қосымшасындағы 6–8-тармақтарға сүйенеді [1]. Қолдау мысалдары — жеке бағалаудан кейін нақтыланатын педагогикалық нұсқалар.</w:t>
      </w:r>
    </w:p>
    <w:p>
      <w:pPr>
        <w:pStyle w:val="21"/>
      </w:pPr>
      <w:r>
        <w:t>Бірінші топ</w:t>
      </w:r>
    </w:p>
    <w:p>
      <w:pPr>
        <w:pStyle w:val="af"/>
        <w:spacing w:line="276" w:lineRule="auto" w:after="120"/>
        <w:ind w:firstLine="720"/>
        <w:jc w:val="both"/>
      </w:pPr>
      <w:r>
        <w:rPr>
          <w:lang w:val="kk-KZ"/>
        </w:rPr>
        <w:t>Бірінші топқа психикалық функциялардың ерекшелігі салдарынан мектеп дағдыларын меңгеруде қиындықтары бар балалар және даму мүмкіндігі шектеулі балалар кіреді. Қағидаларда төмендегі сегіз санат көрсетілген. Кестедегі ұсыныс диагноз қоюға немесе барлық балаға бірдей бағдарлама тағайындауға арналмаған.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736"/>
        <w:gridCol w:w="3024"/>
        <w:gridCol w:w="3384"/>
      </w:tblGrid>
      <w:tr>
        <w:trPr>
          <w:tblHeader/>
        </w:trPr>
        <w:tc>
          <w:tcPr>
            <w:tcW w:type="dxa" w:w="2736"/>
            <w:vAlign w:val="center"/>
            <w:shd w:fill="EEEEEE"/>
          </w:tcPr>
          <w:p>
            <w:pPr>
              <w:spacing w:after="60" w:before="60" w:line="240" w:lineRule="auto"/>
            </w:pPr>
            <w:r>
              <w:rPr>
                <w:rFonts w:ascii="Times New Roman" w:hAnsi="Times New Roman"/>
                <w:b/>
                <w:sz w:val="22"/>
              </w:rPr>
              <w:t>Қағидалардағы санат</w:t>
            </w:r>
          </w:p>
        </w:tc>
        <w:tc>
          <w:tcPr>
            <w:tcW w:type="dxa" w:w="3024"/>
            <w:vAlign w:val="center"/>
            <w:shd w:fill="EEEEEE"/>
          </w:tcPr>
          <w:p>
            <w:pPr>
              <w:spacing w:after="60" w:before="60" w:line="240" w:lineRule="auto"/>
            </w:pPr>
            <w:r>
              <w:rPr>
                <w:rFonts w:ascii="Times New Roman" w:hAnsi="Times New Roman"/>
                <w:b/>
                <w:sz w:val="22"/>
              </w:rPr>
              <w:t>Оқу кезіндегі ықтимал кедергі</w:t>
            </w:r>
          </w:p>
        </w:tc>
        <w:tc>
          <w:tcPr>
            <w:tcW w:type="dxa" w:w="3384"/>
            <w:vAlign w:val="center"/>
            <w:shd w:fill="EEEEEE"/>
          </w:tcPr>
          <w:p>
            <w:pPr>
              <w:spacing w:after="60" w:before="60" w:line="240" w:lineRule="auto"/>
            </w:pPr>
            <w:r>
              <w:rPr>
                <w:rFonts w:ascii="Times New Roman" w:hAnsi="Times New Roman"/>
                <w:b/>
                <w:sz w:val="22"/>
              </w:rPr>
              <w:t>Қолдаудың мысалы</w:t>
            </w:r>
          </w:p>
        </w:tc>
      </w:tr>
      <w:tr>
        <w:tc>
          <w:tcPr>
            <w:tcW w:type="dxa" w:w="2736"/>
            <w:vAlign w:val="center"/>
          </w:tcPr>
          <w:p>
            <w:pPr>
              <w:spacing w:after="60" w:before="60" w:line="240" w:lineRule="auto"/>
            </w:pPr>
            <w:r>
              <w:rPr>
                <w:rFonts w:ascii="Times New Roman" w:hAnsi="Times New Roman"/>
                <w:b w:val="0"/>
                <w:sz w:val="22"/>
              </w:rPr>
              <w:t>Есту қабілеті зақымдалған балалар</w:t>
            </w:r>
          </w:p>
        </w:tc>
        <w:tc>
          <w:tcPr>
            <w:tcW w:type="dxa" w:w="3024"/>
            <w:vAlign w:val="center"/>
          </w:tcPr>
          <w:p>
            <w:pPr>
              <w:spacing w:after="60" w:before="60" w:line="240" w:lineRule="auto"/>
            </w:pPr>
            <w:r>
              <w:rPr>
                <w:rFonts w:ascii="Times New Roman" w:hAnsi="Times New Roman"/>
                <w:b w:val="0"/>
                <w:sz w:val="22"/>
              </w:rPr>
              <w:t>Ауызша ақпаратты толық қабылдамау; дыбысы мол орта.</w:t>
            </w:r>
          </w:p>
        </w:tc>
        <w:tc>
          <w:tcPr>
            <w:tcW w:type="dxa" w:w="3384"/>
            <w:vAlign w:val="center"/>
          </w:tcPr>
          <w:p>
            <w:pPr>
              <w:spacing w:after="60" w:before="60" w:line="240" w:lineRule="auto"/>
            </w:pPr>
            <w:r>
              <w:rPr>
                <w:rFonts w:ascii="Times New Roman" w:hAnsi="Times New Roman"/>
                <w:b w:val="0"/>
                <w:sz w:val="22"/>
              </w:rPr>
              <w:t>Нұсқаулықтың көрнекі нұсқасы, субтитр; маманмен келісілген коммуникация.</w:t>
            </w:r>
          </w:p>
        </w:tc>
      </w:tr>
      <w:tr>
        <w:tc>
          <w:tcPr>
            <w:tcW w:type="dxa" w:w="2736"/>
            <w:vAlign w:val="center"/>
          </w:tcPr>
          <w:p>
            <w:pPr>
              <w:spacing w:after="60" w:before="60" w:line="240" w:lineRule="auto"/>
            </w:pPr>
            <w:r>
              <w:rPr>
                <w:rFonts w:ascii="Times New Roman" w:hAnsi="Times New Roman"/>
                <w:b w:val="0"/>
                <w:sz w:val="22"/>
              </w:rPr>
              <w:t>Көру қабілеті зақымдалған балалар</w:t>
            </w:r>
          </w:p>
        </w:tc>
        <w:tc>
          <w:tcPr>
            <w:tcW w:type="dxa" w:w="3024"/>
            <w:vAlign w:val="center"/>
          </w:tcPr>
          <w:p>
            <w:pPr>
              <w:spacing w:after="60" w:before="60" w:line="240" w:lineRule="auto"/>
            </w:pPr>
            <w:r>
              <w:rPr>
                <w:rFonts w:ascii="Times New Roman" w:hAnsi="Times New Roman"/>
                <w:b w:val="0"/>
                <w:sz w:val="22"/>
              </w:rPr>
              <w:t>Ұсақ мәтін, көрнекі ақпараттың сипатталмауы.</w:t>
            </w:r>
          </w:p>
        </w:tc>
        <w:tc>
          <w:tcPr>
            <w:tcW w:type="dxa" w:w="3384"/>
            <w:vAlign w:val="center"/>
          </w:tcPr>
          <w:p>
            <w:pPr>
              <w:spacing w:after="60" w:before="60" w:line="240" w:lineRule="auto"/>
            </w:pPr>
            <w:r>
              <w:rPr>
                <w:rFonts w:ascii="Times New Roman" w:hAnsi="Times New Roman"/>
                <w:b w:val="0"/>
                <w:sz w:val="22"/>
              </w:rPr>
              <w:t>Қолжетімді файл, мәтіндік/дыбыстық сипаттама; қажет құрал мен жұмыс орны.</w:t>
            </w:r>
          </w:p>
        </w:tc>
      </w:tr>
      <w:tr>
        <w:tc>
          <w:tcPr>
            <w:tcW w:type="dxa" w:w="2736"/>
            <w:vAlign w:val="center"/>
          </w:tcPr>
          <w:p>
            <w:pPr>
              <w:spacing w:after="60" w:before="60" w:line="240" w:lineRule="auto"/>
            </w:pPr>
            <w:r>
              <w:rPr>
                <w:rFonts w:ascii="Times New Roman" w:hAnsi="Times New Roman"/>
                <w:b w:val="0"/>
                <w:sz w:val="22"/>
              </w:rPr>
              <w:t>Зердесі зақымдалған балалар</w:t>
            </w:r>
          </w:p>
        </w:tc>
        <w:tc>
          <w:tcPr>
            <w:tcW w:type="dxa" w:w="3024"/>
            <w:vAlign w:val="center"/>
          </w:tcPr>
          <w:p>
            <w:pPr>
              <w:spacing w:after="60" w:before="60" w:line="240" w:lineRule="auto"/>
            </w:pPr>
            <w:r>
              <w:rPr>
                <w:rFonts w:ascii="Times New Roman" w:hAnsi="Times New Roman"/>
                <w:b w:val="0"/>
                <w:sz w:val="22"/>
              </w:rPr>
              <w:t>Абстрактілі түсіндіру мен күрделі әрекеттер тізбегі.</w:t>
            </w:r>
          </w:p>
        </w:tc>
        <w:tc>
          <w:tcPr>
            <w:tcW w:type="dxa" w:w="3384"/>
            <w:vAlign w:val="center"/>
          </w:tcPr>
          <w:p>
            <w:pPr>
              <w:spacing w:after="60" w:before="60" w:line="240" w:lineRule="auto"/>
            </w:pPr>
            <w:r>
              <w:rPr>
                <w:rFonts w:ascii="Times New Roman" w:hAnsi="Times New Roman"/>
                <w:b w:val="0"/>
                <w:sz w:val="22"/>
              </w:rPr>
              <w:t>Нақты әрекет пен үлгі; оқу мақсаты және бағдарламасы бағалау нәтижесіне сай.</w:t>
            </w:r>
          </w:p>
        </w:tc>
      </w:tr>
      <w:tr>
        <w:tc>
          <w:tcPr>
            <w:tcW w:type="dxa" w:w="2736"/>
            <w:vAlign w:val="center"/>
          </w:tcPr>
          <w:p>
            <w:pPr>
              <w:spacing w:after="60" w:before="60" w:line="240" w:lineRule="auto"/>
            </w:pPr>
            <w:r>
              <w:rPr>
                <w:rFonts w:ascii="Times New Roman" w:hAnsi="Times New Roman"/>
                <w:b w:val="0"/>
                <w:sz w:val="22"/>
              </w:rPr>
              <w:t>Психикалық дамуы тежелген балалар</w:t>
            </w:r>
          </w:p>
        </w:tc>
        <w:tc>
          <w:tcPr>
            <w:tcW w:type="dxa" w:w="3024"/>
            <w:vAlign w:val="center"/>
          </w:tcPr>
          <w:p>
            <w:pPr>
              <w:spacing w:after="60" w:before="60" w:line="240" w:lineRule="auto"/>
            </w:pPr>
            <w:r>
              <w:rPr>
                <w:rFonts w:ascii="Times New Roman" w:hAnsi="Times New Roman"/>
                <w:b w:val="0"/>
                <w:sz w:val="22"/>
              </w:rPr>
              <w:t>Қарқын, зейін, тапсырмаға кірісу немесе білімдегі олқылық.</w:t>
            </w:r>
          </w:p>
        </w:tc>
        <w:tc>
          <w:tcPr>
            <w:tcW w:type="dxa" w:w="3384"/>
            <w:vAlign w:val="center"/>
          </w:tcPr>
          <w:p>
            <w:pPr>
              <w:spacing w:after="60" w:before="60" w:line="240" w:lineRule="auto"/>
            </w:pPr>
            <w:r>
              <w:rPr>
                <w:rFonts w:ascii="Times New Roman" w:hAnsi="Times New Roman"/>
                <w:b w:val="0"/>
                <w:sz w:val="22"/>
              </w:rPr>
              <w:t>Шағын қадам, жеткілікті уақыт, жоспарлы қайталау, кері байланыс.</w:t>
            </w:r>
          </w:p>
        </w:tc>
      </w:tr>
      <w:tr>
        <w:tc>
          <w:tcPr>
            <w:tcW w:type="dxa" w:w="2736"/>
            <w:vAlign w:val="center"/>
          </w:tcPr>
          <w:p>
            <w:pPr>
              <w:spacing w:after="60" w:before="60" w:line="240" w:lineRule="auto"/>
            </w:pPr>
            <w:r>
              <w:rPr>
                <w:rFonts w:ascii="Times New Roman" w:hAnsi="Times New Roman"/>
                <w:b w:val="0"/>
                <w:sz w:val="22"/>
              </w:rPr>
              <w:t>Сөйлеу қабілеті зақымдалған балалар; жазбаша сөйлеу бұзылыстары</w:t>
            </w:r>
          </w:p>
        </w:tc>
        <w:tc>
          <w:tcPr>
            <w:tcW w:type="dxa" w:w="3024"/>
            <w:vAlign w:val="center"/>
          </w:tcPr>
          <w:p>
            <w:pPr>
              <w:spacing w:after="60" w:before="60" w:line="240" w:lineRule="auto"/>
            </w:pPr>
            <w:r>
              <w:rPr>
                <w:rFonts w:ascii="Times New Roman" w:hAnsi="Times New Roman"/>
                <w:b w:val="0"/>
                <w:sz w:val="22"/>
              </w:rPr>
              <w:t>Ауызша жауап, оқу не жазу арқылы білімін көрсету қиындығы.</w:t>
            </w:r>
          </w:p>
        </w:tc>
        <w:tc>
          <w:tcPr>
            <w:tcW w:type="dxa" w:w="3384"/>
            <w:vAlign w:val="center"/>
          </w:tcPr>
          <w:p>
            <w:pPr>
              <w:spacing w:after="60" w:before="60" w:line="240" w:lineRule="auto"/>
            </w:pPr>
            <w:r>
              <w:rPr>
                <w:rFonts w:ascii="Times New Roman" w:hAnsi="Times New Roman"/>
                <w:b w:val="0"/>
                <w:sz w:val="22"/>
              </w:rPr>
              <w:t>Жауаптың баламалы тәсілі, түсінікті нұсқаулық; логопедпен бірлесу.</w:t>
            </w:r>
          </w:p>
        </w:tc>
      </w:tr>
      <w:tr>
        <w:tc>
          <w:tcPr>
            <w:tcW w:type="dxa" w:w="2736"/>
            <w:vAlign w:val="center"/>
          </w:tcPr>
          <w:p>
            <w:pPr>
              <w:spacing w:after="60" w:before="60" w:line="240" w:lineRule="auto"/>
            </w:pPr>
            <w:r>
              <w:rPr>
                <w:rFonts w:ascii="Times New Roman" w:hAnsi="Times New Roman"/>
                <w:b w:val="0"/>
                <w:sz w:val="22"/>
              </w:rPr>
              <w:t>Тірек-қимыл аппараты бұзылған балалар</w:t>
            </w:r>
          </w:p>
        </w:tc>
        <w:tc>
          <w:tcPr>
            <w:tcW w:type="dxa" w:w="3024"/>
            <w:vAlign w:val="center"/>
          </w:tcPr>
          <w:p>
            <w:pPr>
              <w:spacing w:after="60" w:before="60" w:line="240" w:lineRule="auto"/>
            </w:pPr>
            <w:r>
              <w:rPr>
                <w:rFonts w:ascii="Times New Roman" w:hAnsi="Times New Roman"/>
                <w:b w:val="0"/>
                <w:sz w:val="22"/>
              </w:rPr>
              <w:t>Қозғалу, құралды ұстау, қолмен жазу кедергісі.</w:t>
            </w:r>
          </w:p>
        </w:tc>
        <w:tc>
          <w:tcPr>
            <w:tcW w:type="dxa" w:w="3384"/>
            <w:vAlign w:val="center"/>
          </w:tcPr>
          <w:p>
            <w:pPr>
              <w:spacing w:after="60" w:before="60" w:line="240" w:lineRule="auto"/>
            </w:pPr>
            <w:r>
              <w:rPr>
                <w:rFonts w:ascii="Times New Roman" w:hAnsi="Times New Roman"/>
                <w:b w:val="0"/>
                <w:sz w:val="22"/>
              </w:rPr>
              <w:t>Қолжетімді қозғалу жолы, бейімделген жұмыс орны, енгізу құрылғысы.</w:t>
            </w:r>
          </w:p>
        </w:tc>
      </w:tr>
      <w:tr>
        <w:tc>
          <w:tcPr>
            <w:tcW w:type="dxa" w:w="2736"/>
            <w:vAlign w:val="center"/>
          </w:tcPr>
          <w:p>
            <w:pPr>
              <w:spacing w:after="60" w:before="60" w:line="240" w:lineRule="auto"/>
            </w:pPr>
            <w:r>
              <w:rPr>
                <w:rFonts w:ascii="Times New Roman" w:hAnsi="Times New Roman"/>
                <w:b w:val="0"/>
                <w:sz w:val="22"/>
              </w:rPr>
              <w:t>Эмоциялық-ерік бұзылыстары бар балалар, оның ішінде аутизмі бар балалар</w:t>
            </w:r>
          </w:p>
        </w:tc>
        <w:tc>
          <w:tcPr>
            <w:tcW w:type="dxa" w:w="3024"/>
            <w:vAlign w:val="center"/>
          </w:tcPr>
          <w:p>
            <w:pPr>
              <w:spacing w:after="60" w:before="60" w:line="240" w:lineRule="auto"/>
            </w:pPr>
            <w:r>
              <w:rPr>
                <w:rFonts w:ascii="Times New Roman" w:hAnsi="Times New Roman"/>
                <w:b w:val="0"/>
                <w:sz w:val="22"/>
              </w:rPr>
              <w:t>Әлеуметтік әрекет, болжанбайтын өзгеріс, қарым-қатынас қиындығы.</w:t>
            </w:r>
          </w:p>
        </w:tc>
        <w:tc>
          <w:tcPr>
            <w:tcW w:type="dxa" w:w="3384"/>
            <w:vAlign w:val="center"/>
          </w:tcPr>
          <w:p>
            <w:pPr>
              <w:spacing w:after="60" w:before="60" w:line="240" w:lineRule="auto"/>
            </w:pPr>
            <w:r>
              <w:rPr>
                <w:rFonts w:ascii="Times New Roman" w:hAnsi="Times New Roman"/>
                <w:b w:val="0"/>
                <w:sz w:val="22"/>
              </w:rPr>
              <w:t>Көрнекі күн тәртібі, баламалы байланыс, алдын ала түсіндіру; жеке қолдау.</w:t>
            </w:r>
          </w:p>
        </w:tc>
      </w:tr>
      <w:tr>
        <w:tc>
          <w:tcPr>
            <w:tcW w:type="dxa" w:w="2736"/>
            <w:vAlign w:val="center"/>
          </w:tcPr>
          <w:p>
            <w:pPr>
              <w:spacing w:after="60" w:before="60" w:line="240" w:lineRule="auto"/>
            </w:pPr>
            <w:r>
              <w:rPr>
                <w:rFonts w:ascii="Times New Roman" w:hAnsi="Times New Roman"/>
                <w:b w:val="0"/>
                <w:sz w:val="22"/>
              </w:rPr>
              <w:t>Күрделі (біріктірілген) бұзылыстары бар балалар</w:t>
            </w:r>
          </w:p>
        </w:tc>
        <w:tc>
          <w:tcPr>
            <w:tcW w:type="dxa" w:w="3024"/>
            <w:vAlign w:val="center"/>
          </w:tcPr>
          <w:p>
            <w:pPr>
              <w:spacing w:after="60" w:before="60" w:line="240" w:lineRule="auto"/>
            </w:pPr>
            <w:r>
              <w:rPr>
                <w:rFonts w:ascii="Times New Roman" w:hAnsi="Times New Roman"/>
                <w:b w:val="0"/>
                <w:sz w:val="22"/>
              </w:rPr>
              <w:t>Бірнеше қажеттіліктің өзара әсері.</w:t>
            </w:r>
          </w:p>
        </w:tc>
        <w:tc>
          <w:tcPr>
            <w:tcW w:type="dxa" w:w="3384"/>
            <w:vAlign w:val="center"/>
          </w:tcPr>
          <w:p>
            <w:pPr>
              <w:spacing w:after="60" w:before="60" w:line="240" w:lineRule="auto"/>
            </w:pPr>
            <w:r>
              <w:rPr>
                <w:rFonts w:ascii="Times New Roman" w:hAnsi="Times New Roman"/>
                <w:b w:val="0"/>
                <w:sz w:val="22"/>
              </w:rPr>
              <w:t>Пәнаралық бағалау; келісілген мақсат пен кешенді қолдау.</w:t>
            </w:r>
          </w:p>
        </w:tc>
      </w:tr>
    </w:tbl>
    <w:p>
      <w:pPr>
        <w:pStyle w:val="21"/>
      </w:pPr>
      <w:r>
        <w:t>Екінші топ</w:t>
      </w:r>
    </w:p>
    <w:p>
      <w:pPr>
        <w:pStyle w:val="af"/>
        <w:spacing w:line="276" w:lineRule="auto" w:after="120"/>
        <w:ind w:firstLine="720"/>
        <w:jc w:val="both"/>
      </w:pPr>
      <w:r>
        <w:rPr>
          <w:lang w:val="kk-KZ"/>
        </w:rPr>
        <w:t>Екінші топтың ЕБҚ-сы білім беру процесіне қатысуға кедергі келтіретін әлеуметтік-психологиялық және өзге факторлармен байланысты. Қағидалардың 8-тармағындағы тізім толық берілді: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3888"/>
        <w:gridCol w:w="5256"/>
      </w:tblGrid>
      <w:tr>
        <w:trPr>
          <w:tblHeader/>
        </w:trPr>
        <w:tc>
          <w:tcPr>
            <w:tcW w:type="dxa" w:w="3888"/>
            <w:vAlign w:val="center"/>
            <w:shd w:fill="EEEEEE"/>
          </w:tcPr>
          <w:p>
            <w:pPr>
              <w:spacing w:after="60" w:before="60" w:line="240" w:lineRule="auto"/>
            </w:pPr>
            <w:r>
              <w:rPr>
                <w:rFonts w:ascii="Times New Roman" w:hAnsi="Times New Roman"/>
                <w:b/>
                <w:sz w:val="22"/>
              </w:rPr>
              <w:t>Санат</w:t>
            </w:r>
          </w:p>
        </w:tc>
        <w:tc>
          <w:tcPr>
            <w:tcW w:type="dxa" w:w="5256"/>
            <w:vAlign w:val="center"/>
            <w:shd w:fill="EEEEEE"/>
          </w:tcPr>
          <w:p>
            <w:pPr>
              <w:spacing w:after="60" w:before="60" w:line="240" w:lineRule="auto"/>
            </w:pPr>
            <w:r>
              <w:rPr>
                <w:rFonts w:ascii="Times New Roman" w:hAnsi="Times New Roman"/>
                <w:b/>
                <w:sz w:val="22"/>
              </w:rPr>
              <w:t>Қолдаудың педагогикалық бағыты</w:t>
            </w:r>
          </w:p>
        </w:tc>
      </w:tr>
      <w:tr>
        <w:tc>
          <w:tcPr>
            <w:tcW w:type="dxa" w:w="3888"/>
            <w:vAlign w:val="center"/>
          </w:tcPr>
          <w:p>
            <w:pPr>
              <w:spacing w:after="60" w:before="60" w:line="240" w:lineRule="auto"/>
            </w:pPr>
            <w:r>
              <w:rPr>
                <w:rFonts w:ascii="Times New Roman" w:hAnsi="Times New Roman"/>
                <w:b w:val="0"/>
                <w:sz w:val="22"/>
              </w:rPr>
              <w:t>Әлеуметтік осал отбасыларда тәрбиеленетін; микроәлеуметтік және педагогикалық қараусыз қалған балалар</w:t>
            </w:r>
          </w:p>
        </w:tc>
        <w:tc>
          <w:tcPr>
            <w:tcW w:type="dxa" w:w="5256"/>
            <w:vAlign w:val="center"/>
          </w:tcPr>
          <w:p>
            <w:pPr>
              <w:spacing w:after="60" w:before="60" w:line="240" w:lineRule="auto"/>
            </w:pPr>
            <w:r>
              <w:rPr>
                <w:rFonts w:ascii="Times New Roman" w:hAnsi="Times New Roman"/>
                <w:b w:val="0"/>
                <w:sz w:val="22"/>
              </w:rPr>
              <w:t>Оқу ресурсына қолжетімділік, білімдегі олқылықты анықтау, әлеуметтік педагогпен және отбасымен бірлесу.</w:t>
            </w:r>
          </w:p>
        </w:tc>
      </w:tr>
      <w:tr>
        <w:tc>
          <w:tcPr>
            <w:tcW w:type="dxa" w:w="3888"/>
            <w:vAlign w:val="center"/>
          </w:tcPr>
          <w:p>
            <w:pPr>
              <w:spacing w:after="60" w:before="60" w:line="240" w:lineRule="auto"/>
            </w:pPr>
            <w:r>
              <w:rPr>
                <w:rFonts w:ascii="Times New Roman" w:hAnsi="Times New Roman"/>
                <w:b w:val="0"/>
                <w:sz w:val="22"/>
              </w:rPr>
              <w:t>Жергілікті қоғамға бейімделуде қиындық көретін балалар: босқындар, мигранттар, қандастар</w:t>
            </w:r>
          </w:p>
        </w:tc>
        <w:tc>
          <w:tcPr>
            <w:tcW w:type="dxa" w:w="5256"/>
            <w:vAlign w:val="center"/>
          </w:tcPr>
          <w:p>
            <w:pPr>
              <w:spacing w:after="60" w:before="60" w:line="240" w:lineRule="auto"/>
            </w:pPr>
            <w:r>
              <w:rPr>
                <w:rFonts w:ascii="Times New Roman" w:hAnsi="Times New Roman"/>
                <w:b w:val="0"/>
                <w:sz w:val="22"/>
              </w:rPr>
              <w:t>Оқыту тілін түсінуге көмек, мектеп ережесін түсіндіру, мәдени ерекшелікті құрметтеу.</w:t>
            </w:r>
          </w:p>
        </w:tc>
      </w:tr>
      <w:tr>
        <w:tc>
          <w:tcPr>
            <w:tcW w:type="dxa" w:w="3888"/>
            <w:vAlign w:val="center"/>
          </w:tcPr>
          <w:p>
            <w:pPr>
              <w:spacing w:after="60" w:before="60" w:line="240" w:lineRule="auto"/>
            </w:pPr>
            <w:r>
              <w:rPr>
                <w:rFonts w:ascii="Times New Roman" w:hAnsi="Times New Roman"/>
                <w:b w:val="0"/>
                <w:sz w:val="22"/>
              </w:rPr>
              <w:t>Мүгедектігі бар балалар</w:t>
            </w:r>
          </w:p>
        </w:tc>
        <w:tc>
          <w:tcPr>
            <w:tcW w:type="dxa" w:w="5256"/>
            <w:vAlign w:val="center"/>
          </w:tcPr>
          <w:p>
            <w:pPr>
              <w:spacing w:after="60" w:before="60" w:line="240" w:lineRule="auto"/>
            </w:pPr>
            <w:r>
              <w:rPr>
                <w:rFonts w:ascii="Times New Roman" w:hAnsi="Times New Roman"/>
                <w:b w:val="0"/>
                <w:sz w:val="22"/>
              </w:rPr>
              <w:t>Оқуда байқалған нақты кедергіні және қолжетімділік қажеттілігін жеке бағалау.</w:t>
            </w:r>
          </w:p>
        </w:tc>
      </w:tr>
    </w:tbl>
    <w:p>
      <w:pPr>
        <w:pStyle w:val="af"/>
        <w:spacing w:line="276" w:lineRule="auto" w:after="120"/>
        <w:ind w:firstLine="720"/>
        <w:jc w:val="both"/>
      </w:pPr>
      <w:r>
        <w:rPr>
          <w:lang w:val="kk-KZ"/>
        </w:rPr>
        <w:t>Нормативтік мәтінде екінші топтың жалпы сипаттамасымен бірге «мүгедектігі бар балалар» да аталған. Бір баланың жағдайында бірнеше фактор қатар болуы мүмкін; топтар бірін-бірі толық жоққа шығаратын белгілер ретінде түсіндірілмейді. ЕБҚ, мүгедектік мәртебесі және нақты қолдау қажеттілігі бір ұғым емес. Шешім баланың әрекеті мен бағалау дерегіне сүйенеді.</w:t>
      </w:r>
    </w:p>
    <w:p>
      <w:pPr>
        <w:pStyle w:val="21"/>
      </w:pPr>
      <w:r>
        <w:t>Бейнероликтерді пайдалану және мазмұнын талдау</w:t>
      </w:r>
    </w:p>
    <w:p>
      <w:pPr>
        <w:pStyle w:val="af"/>
        <w:spacing w:line="276" w:lineRule="auto" w:after="120"/>
        <w:ind w:firstLine="720"/>
        <w:jc w:val="both"/>
      </w:pPr>
      <w:r>
        <w:rPr>
          <w:lang w:val="kk-KZ"/>
        </w:rPr>
        <w:t>1-бейнематериал: UNICEF North Macedonia. «Inclusive education is a right, not luck» (2024). Ресми бетте бейне және оның мәтіндік транскрипті жарияланған [3]. Талдау осы транскриптке сүйенеді: аутизмі бар баланың анасы көрнекі тіректер, оқу көмекшісі және ата-ана–мұғалім ынтымақтастығы туралы айтады. Қажеттілікті бағалау қолдаудың түрін таңдаумен байланыстырылған. Педагогикалық қорытынды: баланың сөйлесу ерекшелігі білімін көрсету мүмкіндігін шектемеуі керек; қолжетімді байланыс пен түсінікті орта қажет.</w:t>
      </w:r>
    </w:p>
    <w:p>
      <w:pPr>
        <w:spacing w:after="120"/>
        <w:jc w:val="left"/>
      </w:pPr>
      <w:r>
        <w:rPr>
          <w:sz w:val="22"/>
        </w:rPr>
        <w:t>Бейне: https://www.youtube-nocookie.com/embed/582M2xZluL4</w:t>
      </w:r>
    </w:p>
    <w:p>
      <w:pPr>
        <w:pStyle w:val="af"/>
        <w:spacing w:line="276" w:lineRule="auto" w:after="120"/>
        <w:ind w:firstLine="720"/>
        <w:jc w:val="both"/>
      </w:pPr>
      <w:r>
        <w:rPr>
          <w:lang w:val="kk-KZ"/>
        </w:rPr>
        <w:t>2-бейнематериал: UNICEF. «Disability Orientation Module» [4]. Ресми UNICEF әдістемелік буклетінің 12-бетінде осы бейнеге сілтеме беріліп, оның мүгедектікке қатысты түсінік пен қатысу кедергілерін талқылауға арналғаны көрсетілген. Бейненің толық транскрипті бұл жұмыста пайдаланылған жоқ; мазмұндық бағдар ресми сипаттамаға негізделді. Сондықтан нақты кадрлар немесе уақыт белгілері туралы тұжырым берілмейді.</w:t>
      </w:r>
    </w:p>
    <w:p>
      <w:pPr>
        <w:spacing w:after="120"/>
        <w:jc w:val="left"/>
      </w:pPr>
      <w:r>
        <w:rPr>
          <w:sz w:val="22"/>
        </w:rPr>
        <w:t>Бейне: https://www.youtube.com/watch?v=GPAhucAA2xU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160"/>
        <w:gridCol w:w="3456"/>
        <w:gridCol w:w="3528"/>
      </w:tblGrid>
      <w:tr>
        <w:trPr>
          <w:tblHeader/>
        </w:trPr>
        <w:tc>
          <w:tcPr>
            <w:tcW w:type="dxa" w:w="2160"/>
            <w:vAlign w:val="center"/>
            <w:shd w:fill="EEEEEE"/>
          </w:tcPr>
          <w:p>
            <w:pPr>
              <w:spacing w:after="60" w:before="60" w:line="240" w:lineRule="auto"/>
            </w:pPr>
            <w:r>
              <w:rPr>
                <w:rFonts w:ascii="Times New Roman" w:hAnsi="Times New Roman"/>
                <w:b/>
                <w:sz w:val="22"/>
              </w:rPr>
              <w:t>Талдау сұрағы</w:t>
            </w:r>
          </w:p>
        </w:tc>
        <w:tc>
          <w:tcPr>
            <w:tcW w:type="dxa" w:w="3456"/>
            <w:vAlign w:val="center"/>
            <w:shd w:fill="EEEEEE"/>
          </w:tcPr>
          <w:p>
            <w:pPr>
              <w:spacing w:after="60" w:before="60" w:line="240" w:lineRule="auto"/>
            </w:pPr>
            <w:r>
              <w:rPr>
                <w:rFonts w:ascii="Times New Roman" w:hAnsi="Times New Roman"/>
                <w:b/>
                <w:sz w:val="22"/>
              </w:rPr>
              <w:t>1-бейнематериалдан алынған ой</w:t>
            </w:r>
          </w:p>
        </w:tc>
        <w:tc>
          <w:tcPr>
            <w:tcW w:type="dxa" w:w="3528"/>
            <w:vAlign w:val="center"/>
            <w:shd w:fill="EEEEEE"/>
          </w:tcPr>
          <w:p>
            <w:pPr>
              <w:spacing w:after="60" w:before="60" w:line="240" w:lineRule="auto"/>
            </w:pPr>
            <w:r>
              <w:rPr>
                <w:rFonts w:ascii="Times New Roman" w:hAnsi="Times New Roman"/>
                <w:b/>
                <w:sz w:val="22"/>
              </w:rPr>
              <w:t>2-бейнематериалмен байланысты әдістемелік ой</w:t>
            </w:r>
          </w:p>
        </w:tc>
      </w:tr>
      <w:tr>
        <w:tc>
          <w:tcPr>
            <w:tcW w:type="dxa" w:w="2160"/>
            <w:vAlign w:val="center"/>
          </w:tcPr>
          <w:p>
            <w:pPr>
              <w:spacing w:after="60" w:before="60" w:line="240" w:lineRule="auto"/>
            </w:pPr>
            <w:r>
              <w:rPr>
                <w:rFonts w:ascii="Times New Roman" w:hAnsi="Times New Roman"/>
                <w:b w:val="0"/>
                <w:sz w:val="22"/>
              </w:rPr>
              <w:t>Кедергі қай жерде?</w:t>
            </w:r>
          </w:p>
        </w:tc>
        <w:tc>
          <w:tcPr>
            <w:tcW w:type="dxa" w:w="3456"/>
            <w:vAlign w:val="center"/>
          </w:tcPr>
          <w:p>
            <w:pPr>
              <w:spacing w:after="60" w:before="60" w:line="240" w:lineRule="auto"/>
            </w:pPr>
            <w:r>
              <w:rPr>
                <w:rFonts w:ascii="Times New Roman" w:hAnsi="Times New Roman"/>
                <w:b w:val="0"/>
                <w:sz w:val="22"/>
              </w:rPr>
              <w:t>Қарым-қатынас пен оқу ресурсы баланың қажеттілігіне сай болуы тиіс.</w:t>
            </w:r>
          </w:p>
        </w:tc>
        <w:tc>
          <w:tcPr>
            <w:tcW w:type="dxa" w:w="3528"/>
            <w:vAlign w:val="center"/>
          </w:tcPr>
          <w:p>
            <w:pPr>
              <w:spacing w:after="60" w:before="60" w:line="240" w:lineRule="auto"/>
            </w:pPr>
            <w:r>
              <w:rPr>
                <w:rFonts w:ascii="Times New Roman" w:hAnsi="Times New Roman"/>
                <w:b w:val="0"/>
                <w:sz w:val="22"/>
              </w:rPr>
              <w:t>Қоғамдық көзқарас пен ортадағы тосқауылдарды да талқылау қажет.</w:t>
            </w:r>
          </w:p>
        </w:tc>
      </w:tr>
      <w:tr>
        <w:tc>
          <w:tcPr>
            <w:tcW w:type="dxa" w:w="2160"/>
            <w:vAlign w:val="center"/>
          </w:tcPr>
          <w:p>
            <w:pPr>
              <w:spacing w:after="60" w:before="60" w:line="240" w:lineRule="auto"/>
            </w:pPr>
            <w:r>
              <w:rPr>
                <w:rFonts w:ascii="Times New Roman" w:hAnsi="Times New Roman"/>
                <w:b w:val="0"/>
                <w:sz w:val="22"/>
              </w:rPr>
              <w:t>Санат қолдауды толық анықтай ма?</w:t>
            </w:r>
          </w:p>
        </w:tc>
        <w:tc>
          <w:tcPr>
            <w:tcW w:type="dxa" w:w="3456"/>
            <w:vAlign w:val="center"/>
          </w:tcPr>
          <w:p>
            <w:pPr>
              <w:spacing w:after="60" w:before="60" w:line="240" w:lineRule="auto"/>
            </w:pPr>
            <w:r>
              <w:rPr>
                <w:rFonts w:ascii="Times New Roman" w:hAnsi="Times New Roman"/>
                <w:b w:val="0"/>
                <w:sz w:val="22"/>
              </w:rPr>
              <w:t>Аутизм атауының өзімен қолдаудың барлық түрін таңдау мүмкін емес.</w:t>
            </w:r>
          </w:p>
        </w:tc>
        <w:tc>
          <w:tcPr>
            <w:tcW w:type="dxa" w:w="3528"/>
            <w:vAlign w:val="center"/>
          </w:tcPr>
          <w:p>
            <w:pPr>
              <w:spacing w:after="60" w:before="60" w:line="240" w:lineRule="auto"/>
            </w:pPr>
            <w:r>
              <w:rPr>
                <w:rFonts w:ascii="Times New Roman" w:hAnsi="Times New Roman"/>
                <w:b w:val="0"/>
                <w:sz w:val="22"/>
              </w:rPr>
              <w:t>Мүгедектікті түсіну нақты адамның қатысу жағдайын ескерумен толықтырылады.</w:t>
            </w:r>
          </w:p>
        </w:tc>
      </w:tr>
      <w:tr>
        <w:tc>
          <w:tcPr>
            <w:tcW w:type="dxa" w:w="2160"/>
            <w:vAlign w:val="center"/>
          </w:tcPr>
          <w:p>
            <w:pPr>
              <w:spacing w:after="60" w:before="60" w:line="240" w:lineRule="auto"/>
            </w:pPr>
            <w:r>
              <w:rPr>
                <w:rFonts w:ascii="Times New Roman" w:hAnsi="Times New Roman"/>
                <w:b w:val="0"/>
                <w:sz w:val="22"/>
              </w:rPr>
              <w:t>Қандай әрекет ұсынуға болады?</w:t>
            </w:r>
          </w:p>
        </w:tc>
        <w:tc>
          <w:tcPr>
            <w:tcW w:type="dxa" w:w="3456"/>
            <w:vAlign w:val="center"/>
          </w:tcPr>
          <w:p>
            <w:pPr>
              <w:spacing w:after="60" w:before="60" w:line="240" w:lineRule="auto"/>
            </w:pPr>
            <w:r>
              <w:rPr>
                <w:rFonts w:ascii="Times New Roman" w:hAnsi="Times New Roman"/>
                <w:b w:val="0"/>
                <w:sz w:val="22"/>
              </w:rPr>
              <w:t>Көрнекі тірек, баламалы байланыс, отбасы пікірі және қайта бағалау.</w:t>
            </w:r>
          </w:p>
        </w:tc>
        <w:tc>
          <w:tcPr>
            <w:tcW w:type="dxa" w:w="3528"/>
            <w:vAlign w:val="center"/>
          </w:tcPr>
          <w:p>
            <w:pPr>
              <w:spacing w:after="60" w:before="60" w:line="240" w:lineRule="auto"/>
            </w:pPr>
            <w:r>
              <w:rPr>
                <w:rFonts w:ascii="Times New Roman" w:hAnsi="Times New Roman"/>
                <w:b w:val="0"/>
                <w:sz w:val="22"/>
              </w:rPr>
              <w:t>Құрметті тіл; әр балаға қолжетімді ақпарат және өз пікірін білдіру мүмкіндігі.</w:t>
            </w:r>
          </w:p>
        </w:tc>
      </w:tr>
    </w:tbl>
    <w:p>
      <w:pPr>
        <w:pStyle w:val="af"/>
        <w:spacing w:line="276" w:lineRule="auto" w:after="120"/>
        <w:ind w:firstLine="720"/>
        <w:jc w:val="both"/>
      </w:pPr>
      <w:r>
        <w:rPr>
          <w:lang w:val="kk-KZ"/>
        </w:rPr>
        <w:t>Бейнематериалдар санаттарды клиникалық анықтау құралы ретінде қолданылмайды. Олар нормативтік жіктеуді адамға қатысты жағдаймен байланыстырып, «қандай кедергі бар және қандай қолдау қажет?» деген сұрақты талқылауға көмектеседі.</w:t>
      </w:r>
    </w:p>
    <w:p>
      <w:pPr>
        <w:sectPr>
          <w:pgSz w:w="12240" w:h="15840"/>
          <w:pgMar w:top="1417" w:right="1417" w:bottom="1417" w:left="1417" w:header="720" w:footer="720" w:gutter="0"/>
          <w:cols w:space="720"/>
          <w:docGrid w:linePitch="360"/>
        </w:sectPr>
      </w:pPr>
    </w:p>
    <w:p>
      <w:pPr>
        <w:pStyle w:val="1"/>
      </w:pPr>
      <w:r>
        <w:t>2. ПМПК-ның негізгі функциялары мен міндеттері</w:t>
      </w:r>
    </w:p>
    <w:p>
      <w:pPr>
        <w:pStyle w:val="1"/>
        <w:spacing w:after="200"/>
      </w:pPr>
      <w:r>
        <w:t>ПМПК туралы буклет — сыртқы бет</w:t>
      </w:r>
    </w:p>
    <w:tbl>
      <w:tblPr>
        <w:tblW w:type="auto" w:w="0"/>
        <w:tblLayout w:type="fixed"/>
        <w:tblLook w:firstColumn="1" w:firstRow="1" w:lastColumn="0" w:lastRow="0" w:noHBand="0" w:noVBand="1" w:val="04A0"/>
        <w:tblBorders>
          <w:top w:val="single" w:color="D9D9D9" w:sz="5"/>
          <w:bottom w:val="single" w:color="D9D9D9" w:sz="5"/>
          <w:left w:val="single" w:color="D9D9D9" w:sz="5"/>
          <w:right w:val="single" w:color="D9D9D9" w:sz="5"/>
          <w:insideV w:val="single" w:color="D9D9D9" w:sz="5"/>
        </w:tblBorders>
      </w:tblPr>
      <w:tblGrid>
        <w:gridCol w:w="4320"/>
        <w:gridCol w:w="4320"/>
        <w:gridCol w:w="4320"/>
      </w:tblGrid>
      <w:tr>
        <w:tc>
          <w:tcPr>
            <w:tcW w:type="dxa" w:w="4320"/>
            <w:tcMar>
              <w:top w:w="160" w:type="dxa"/>
              <w:bottom w:w="160" w:type="dxa"/>
              <w:left w:w="160" w:type="dxa"/>
              <w:right w:w="160" w:type="dxa"/>
            </w:tcMar>
          </w:tcPr>
          <w:p>
            <w:pPr>
              <w:spacing w:after="180" w:line="259" w:lineRule="auto"/>
            </w:pPr>
            <w:r>
              <w:rPr>
                <w:rFonts w:ascii="Times New Roman" w:hAnsi="Times New Roman"/>
                <w:b/>
                <w:sz w:val="28"/>
              </w:rPr>
              <w:t>Кеңеске дайындалу</w:t>
            </w:r>
          </w:p>
          <w:p>
            <w:pPr>
              <w:spacing w:after="180" w:line="259" w:lineRule="auto"/>
            </w:pPr>
            <w:r>
              <w:rPr>
                <w:rFonts w:ascii="Times New Roman" w:hAnsi="Times New Roman"/>
                <w:b w:val="0"/>
                <w:sz w:val="22"/>
              </w:rPr>
              <w:t>Бала неге қызығады, не жақсы шығады, қандай тапсырма қиын екенін қысқа жазып алыңыз.</w:t>
            </w:r>
          </w:p>
          <w:p>
            <w:pPr>
              <w:spacing w:after="180" w:line="259" w:lineRule="auto"/>
            </w:pPr>
            <w:r>
              <w:rPr>
                <w:rFonts w:ascii="Times New Roman" w:hAnsi="Times New Roman"/>
                <w:b w:val="0"/>
                <w:sz w:val="22"/>
              </w:rPr>
              <w:t>Мұғалім бақылауы мен баланың жұмыс үлгісі пайдалы болуы мүмкін. Қабылдау үшін қажет құжаттарды жергілікті ПМПК-дан нақтылаңыз.</w:t>
            </w:r>
          </w:p>
          <w:p>
            <w:pPr>
              <w:spacing w:after="180" w:line="259" w:lineRule="auto"/>
            </w:pPr>
            <w:r>
              <w:rPr>
                <w:rFonts w:ascii="Times New Roman" w:hAnsi="Times New Roman"/>
                <w:b w:val="0"/>
                <w:sz w:val="22"/>
              </w:rPr>
              <w:t>Кеңесте сұраңыз: қандай қолдау керек; қайда көрсетіледі; ұсынымды қашан қайта қараймыз?</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Құқықтық негіз</w:t>
            </w:r>
          </w:p>
          <w:p>
            <w:pPr>
              <w:spacing w:after="180" w:line="259" w:lineRule="auto"/>
            </w:pPr>
            <w:r>
              <w:rPr>
                <w:rFonts w:ascii="Times New Roman" w:hAnsi="Times New Roman"/>
                <w:b w:val="0"/>
                <w:sz w:val="22"/>
              </w:rPr>
              <w:t>№385 бұйрық, 31.08.2022; 6-қосымша, 3-тарау, 92–104-тармақтар [2].</w:t>
            </w:r>
          </w:p>
          <w:p>
            <w:pPr>
              <w:spacing w:after="180" w:line="259" w:lineRule="auto"/>
            </w:pPr>
            <w:r>
              <w:rPr>
                <w:rFonts w:ascii="Times New Roman" w:hAnsi="Times New Roman"/>
                <w:b w:val="0"/>
                <w:sz w:val="22"/>
              </w:rPr>
              <w:t>№4 бұйрық, 12.01.2022; ЕБҚ бағалау тәртібі [1].</w:t>
            </w:r>
          </w:p>
          <w:p>
            <w:pPr>
              <w:spacing w:after="180" w:line="259" w:lineRule="auto"/>
            </w:pPr>
            <w:r>
              <w:rPr>
                <w:rFonts w:ascii="Times New Roman" w:hAnsi="Times New Roman"/>
                <w:b w:val="0"/>
                <w:sz w:val="22"/>
              </w:rPr>
              <w:t>Баланы жіберу ата-ана келісімімен; қабылдау алдын ала тіркеліп, ата-ана еріп жүруімен жүзеге асады.</w:t>
            </w:r>
          </w:p>
          <w:p>
            <w:pPr>
              <w:spacing w:after="180" w:line="259" w:lineRule="auto"/>
            </w:pPr>
            <w:r>
              <w:rPr>
                <w:rFonts w:ascii="Times New Roman" w:hAnsi="Times New Roman"/>
                <w:b w:val="0"/>
                <w:sz w:val="22"/>
              </w:rPr>
              <w:t>Қорытынды мен ұсыным ата-анаға беріледі. Білім беру ұйымын таңдау құқығы ата-анада. Толық сілтемелер әдебиеттер бөлімінде.</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ПМПК</w:t>
            </w:r>
          </w:p>
          <w:p>
            <w:pPr>
              <w:spacing w:after="180" w:line="259" w:lineRule="auto"/>
            </w:pPr>
            <w:r>
              <w:rPr>
                <w:rFonts w:ascii="Times New Roman" w:hAnsi="Times New Roman"/>
                <w:b w:val="0"/>
                <w:sz w:val="22"/>
              </w:rPr>
              <w:t>Психологиялық-медициналық-педагогикалық консультация</w:t>
            </w:r>
          </w:p>
          <w:p>
            <w:pPr>
              <w:spacing w:after="180" w:line="259" w:lineRule="auto"/>
            </w:pPr>
            <w:r>
              <w:rPr>
                <w:rFonts w:ascii="Times New Roman" w:hAnsi="Times New Roman"/>
                <w:b w:val="0"/>
                <w:sz w:val="22"/>
              </w:rPr>
              <w:t>Мақсат: ЕБҚ мен білім алу үшін арнаулы жағдайды бағалау, бағдарлама түрін анықтау және қажетті қолдауға ұсыным беру.</w:t>
            </w:r>
          </w:p>
          <w:p>
            <w:pPr>
              <w:spacing w:after="180" w:line="259" w:lineRule="auto"/>
            </w:pPr>
            <w:r>
              <w:rPr>
                <w:rFonts w:ascii="Times New Roman" w:hAnsi="Times New Roman"/>
                <w:b w:val="0"/>
                <w:sz w:val="22"/>
              </w:rPr>
              <w:t>Отбасы мен педагогке арналған үш бүктемелі буклет.</w:t>
            </w:r>
          </w:p>
          <w:p>
            <w:pPr>
              <w:spacing w:after="180" w:line="259" w:lineRule="auto"/>
            </w:pPr>
            <w:r>
              <w:rPr>
                <w:rFonts w:ascii="Times New Roman" w:hAnsi="Times New Roman"/>
                <w:b w:val="0"/>
                <w:sz w:val="22"/>
              </w:rPr>
              <w:t>Орындаған: Биарстанов Д.А.</w:t>
              <w:br/>
              <w:t>Тексерген: Жаканбаева Б.Б.</w:t>
              <w:br/>
              <w:t>6-апта • БӨЖ</w:t>
            </w:r>
          </w:p>
        </w:tc>
      </w:tr>
    </w:tbl>
    <w:p>
      <w:pPr>
        <w:spacing w:before="200"/>
      </w:pPr>
      <w:r>
        <w:rPr>
          <w:i/>
          <w:sz w:val="20"/>
        </w:rPr>
        <w:t>Үш бүктемелі буклет. Сыртқы бет: қайырма — артқы бет — мұқаба; ішкі бет: солдан оңға.</w:t>
      </w:r>
    </w:p>
    <w:p>
      <w:r>
        <w:br w:type="page"/>
      </w:r>
    </w:p>
    <w:p>
      <w:pPr>
        <w:pStyle w:val="1"/>
        <w:spacing w:after="200"/>
      </w:pPr>
      <w:r>
        <w:t>ПМПК туралы буклет — ішкі бет</w:t>
      </w:r>
    </w:p>
    <w:tbl>
      <w:tblPr>
        <w:tblW w:type="auto" w:w="0"/>
        <w:tblLayout w:type="fixed"/>
        <w:tblLook w:firstColumn="1" w:firstRow="1" w:lastColumn="0" w:lastRow="0" w:noHBand="0" w:noVBand="1" w:val="04A0"/>
        <w:tblBorders>
          <w:top w:val="single" w:color="D9D9D9" w:sz="5"/>
          <w:bottom w:val="single" w:color="D9D9D9" w:sz="5"/>
          <w:left w:val="single" w:color="D9D9D9" w:sz="5"/>
          <w:right w:val="single" w:color="D9D9D9" w:sz="5"/>
          <w:insideV w:val="single" w:color="D9D9D9" w:sz="5"/>
        </w:tblBorders>
      </w:tblPr>
      <w:tblGrid>
        <w:gridCol w:w="4320"/>
        <w:gridCol w:w="4320"/>
        <w:gridCol w:w="4320"/>
      </w:tblGrid>
      <w:tr>
        <w:tc>
          <w:tcPr>
            <w:tcW w:type="dxa" w:w="4320"/>
            <w:tcMar>
              <w:top w:w="160" w:type="dxa"/>
              <w:bottom w:w="160" w:type="dxa"/>
              <w:left w:w="160" w:type="dxa"/>
              <w:right w:w="160" w:type="dxa"/>
            </w:tcMar>
          </w:tcPr>
          <w:p>
            <w:pPr>
              <w:spacing w:after="180" w:line="259" w:lineRule="auto"/>
            </w:pPr>
            <w:r>
              <w:rPr>
                <w:rFonts w:ascii="Times New Roman" w:hAnsi="Times New Roman"/>
                <w:b/>
                <w:sz w:val="28"/>
              </w:rPr>
              <w:t>1–3. Бағалау және ұсыным</w:t>
            </w:r>
          </w:p>
          <w:p>
            <w:pPr>
              <w:spacing w:after="180" w:line="259" w:lineRule="auto"/>
            </w:pPr>
            <w:r>
              <w:rPr>
                <w:rFonts w:ascii="Times New Roman" w:hAnsi="Times New Roman"/>
                <w:b w:val="0"/>
                <w:sz w:val="22"/>
              </w:rPr>
              <w:t>1. Туғаннан 18 жасқа дейін балаларды ЕБҚ анықтау және бағалау үшін психологиялық-медициналық-педагогикалық тексеру.</w:t>
            </w:r>
          </w:p>
          <w:p>
            <w:pPr>
              <w:spacing w:after="180" w:line="259" w:lineRule="auto"/>
            </w:pPr>
            <w:r>
              <w:rPr>
                <w:rFonts w:ascii="Times New Roman" w:hAnsi="Times New Roman"/>
                <w:b w:val="0"/>
                <w:sz w:val="22"/>
              </w:rPr>
              <w:t>2. ЕБҚ анықтау және жалпы/арнайы білім беру ұйымдарында оны қанағаттандыру жөнінде ұсыным беру.</w:t>
            </w:r>
          </w:p>
          <w:p>
            <w:pPr>
              <w:spacing w:after="180" w:line="259" w:lineRule="auto"/>
            </w:pPr>
            <w:r>
              <w:rPr>
                <w:rFonts w:ascii="Times New Roman" w:hAnsi="Times New Roman"/>
                <w:b w:val="0"/>
                <w:sz w:val="22"/>
              </w:rPr>
              <w:t>3. Балаға арналған білім беру бағдарламасының түрін белгілеу.</w:t>
            </w:r>
          </w:p>
          <w:p>
            <w:pPr>
              <w:spacing w:after="180" w:line="259" w:lineRule="auto"/>
            </w:pPr>
            <w:r>
              <w:rPr>
                <w:rFonts w:ascii="Times New Roman" w:hAnsi="Times New Roman"/>
                <w:b w:val="0"/>
                <w:sz w:val="22"/>
              </w:rPr>
              <w:t>Нәтиже: қажетті жағдай мен білім алу бағыты туралы алқалық қорытынды және ұсыным.</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4–5. Отбасы мен педагог</w:t>
            </w:r>
          </w:p>
          <w:p>
            <w:pPr>
              <w:spacing w:after="180" w:line="259" w:lineRule="auto"/>
            </w:pPr>
            <w:r>
              <w:rPr>
                <w:rFonts w:ascii="Times New Roman" w:hAnsi="Times New Roman"/>
                <w:b w:val="0"/>
                <w:sz w:val="22"/>
              </w:rPr>
              <w:t>4. Баланың дамуы, оқуы мен тәрбиесі, даму қиындықтарының алдын алу және оларды жеңу мәселелері бойынша отбасына кеңес беру.</w:t>
            </w:r>
          </w:p>
          <w:p>
            <w:pPr>
              <w:spacing w:after="180" w:line="259" w:lineRule="auto"/>
            </w:pPr>
            <w:r>
              <w:rPr>
                <w:rFonts w:ascii="Times New Roman" w:hAnsi="Times New Roman"/>
                <w:b w:val="0"/>
                <w:sz w:val="22"/>
              </w:rPr>
              <w:t>5. Мұғалімге, тәрбиешіге, мектепке дейінгі және мектеп ұйымдары мамандарына консультациялық-әдістемелік көмек көрсету.</w:t>
            </w:r>
          </w:p>
          <w:p>
            <w:pPr>
              <w:spacing w:after="180" w:line="259" w:lineRule="auto"/>
            </w:pPr>
            <w:r>
              <w:rPr>
                <w:rFonts w:ascii="Times New Roman" w:hAnsi="Times New Roman"/>
                <w:b w:val="0"/>
                <w:sz w:val="22"/>
              </w:rPr>
              <w:t>Ұсыным мектепте нақты қолдауға айналуы тиіс: материал, әдіс, жұмыс орны, маман көмегі және бағалау тәсілі.</w:t>
            </w:r>
          </w:p>
        </w:tc>
        <w:tc>
          <w:tcPr>
            <w:tcW w:type="dxa" w:w="4320"/>
            <w:tcMar>
              <w:top w:w="160" w:type="dxa"/>
              <w:bottom w:w="160" w:type="dxa"/>
              <w:left w:w="160" w:type="dxa"/>
              <w:right w:w="160" w:type="dxa"/>
            </w:tcMar>
          </w:tcPr>
          <w:p>
            <w:pPr>
              <w:spacing w:after="180" w:line="259" w:lineRule="auto"/>
            </w:pPr>
            <w:r>
              <w:rPr>
                <w:rFonts w:ascii="Times New Roman" w:hAnsi="Times New Roman"/>
                <w:b/>
                <w:sz w:val="28"/>
              </w:rPr>
              <w:t>6–7. Бірлесу және есеп</w:t>
            </w:r>
          </w:p>
          <w:p>
            <w:pPr>
              <w:spacing w:after="180" w:line="259" w:lineRule="auto"/>
            </w:pPr>
            <w:r>
              <w:rPr>
                <w:rFonts w:ascii="Times New Roman" w:hAnsi="Times New Roman"/>
                <w:b w:val="0"/>
                <w:sz w:val="22"/>
              </w:rPr>
              <w:t>6. Білім беру, денсаулық сақтау, әлеуметтік қорғау органдары және қоғамдық ұйымдармен ЕБҚ-ны уақытылы анықтау жөнінде бірлесу; қызметтер туралы ақпарат беру.</w:t>
            </w:r>
          </w:p>
          <w:p>
            <w:pPr>
              <w:spacing w:after="180" w:line="259" w:lineRule="auto"/>
            </w:pPr>
            <w:r>
              <w:rPr>
                <w:rFonts w:ascii="Times New Roman" w:hAnsi="Times New Roman"/>
                <w:b w:val="0"/>
                <w:sz w:val="22"/>
              </w:rPr>
              <w:t>7. ЕБҚ бар балалардың есебін жүргізу және жиынтық есептілікті қалыптастыру.</w:t>
            </w:r>
          </w:p>
          <w:p>
            <w:pPr>
              <w:spacing w:after="180" w:line="259" w:lineRule="auto"/>
            </w:pPr>
            <w:r>
              <w:rPr>
                <w:rFonts w:ascii="Times New Roman" w:hAnsi="Times New Roman"/>
                <w:b w:val="0"/>
                <w:sz w:val="22"/>
              </w:rPr>
              <w:t>Қажеттілік өзгерсе, қайта бағалау және ұсынымды нақтылау мүмкіндігі қаралады.</w:t>
            </w:r>
          </w:p>
          <w:p>
            <w:pPr>
              <w:spacing w:after="180" w:line="259" w:lineRule="auto"/>
            </w:pPr>
            <w:r>
              <w:rPr>
                <w:rFonts w:ascii="Times New Roman" w:hAnsi="Times New Roman"/>
                <w:b w:val="0"/>
                <w:sz w:val="22"/>
              </w:rPr>
              <w:t>Қолдау баланың дербестігі мен оқуына қатысуын күшейтуге бағытталады.</w:t>
            </w:r>
          </w:p>
        </w:tc>
      </w:tr>
    </w:tbl>
    <w:p>
      <w:pPr>
        <w:spacing w:before="200"/>
      </w:pPr>
      <w:r>
        <w:rPr>
          <w:i/>
          <w:sz w:val="20"/>
        </w:rPr>
        <w:t>Үш бүктемелі буклет. Сыртқы бет: қайырма — артқы бет — мұқаба; ішкі бет: солдан оңға.</w:t>
      </w:r>
    </w:p>
    <w:p>
      <w:pPr>
        <w:sectPr>
          <w:pgSz w:w="15840" w:h="12240" w:orient="landscape"/>
          <w:pgMar w:top="1417" w:right="1417" w:bottom="1417" w:left="1417" w:header="720" w:footer="720" w:gutter="0"/>
          <w:cols w:space="720"/>
          <w:docGrid w:linePitch="360"/>
        </w:sectPr>
      </w:pPr>
    </w:p>
    <w:p>
      <w:pPr>
        <w:pStyle w:val="1"/>
      </w:pPr>
      <w:r>
        <w:t>3. ЕБҚ бар балалардың ерте жастан сапалы білім алуы</w:t>
      </w:r>
    </w:p>
    <w:p>
      <w:pPr>
        <w:jc w:val="center"/>
      </w:pPr>
      <w:r>
        <w:drawing>
          <wp:inline xmlns:a="http://schemas.openxmlformats.org/drawingml/2006/main" xmlns:pic="http://schemas.openxmlformats.org/drawingml/2006/picture">
            <wp:extent cx="5897880" cy="7208520"/>
            <wp:docPr id="3" name="Picture 3"/>
            <wp:cNvGraphicFramePr>
              <a:graphicFrameLocks noChangeAspect="1"/>
            </wp:cNvGraphicFramePr>
            <a:graphic>
              <a:graphicData uri="http://schemas.openxmlformats.org/drawingml/2006/picture">
                <pic:pic>
                  <pic:nvPicPr>
                    <pic:cNvPr id="0" name="inclusion_early_poster.png"/>
                    <pic:cNvPicPr/>
                  </pic:nvPicPr>
                  <pic:blipFill>
                    <a:blip r:embed="rId11"/>
                    <a:stretch>
                      <a:fillRect/>
                    </a:stretch>
                  </pic:blipFill>
                  <pic:spPr>
                    <a:xfrm>
                      <a:off x="0" y="0"/>
                      <a:ext cx="5897880" cy="7208520"/>
                    </a:xfrm>
                    <a:prstGeom prst="rect"/>
                  </pic:spPr>
                </pic:pic>
              </a:graphicData>
            </a:graphic>
          </wp:inline>
        </w:drawing>
      </w:r>
    </w:p>
    <w:p>
      <w:pPr>
        <w:pStyle w:val="1"/>
        <w:pageBreakBefore/>
      </w:pPr>
      <w:r>
        <w:t>Пайдаланылған әдебиеттер</w:t>
      </w:r>
    </w:p>
    <w:p>
      <w:pPr>
        <w:spacing w:after="120"/>
        <w:jc w:val="left"/>
      </w:pPr>
      <w:r>
        <w:rPr>
          <w:sz w:val="22"/>
        </w:rPr>
        <w:t>1. Ерекше білім беру қажеттіліктерін бағалау қағидаларын және бағдарламаларын бекіту туралы. 12.01.2022 №4 бұйрық, 1-қосымша, 4–10-тармақтар. URL: https://old.adilet.zan.kz/kaz/docs/V2200026618/compare</w:t>
      </w:r>
    </w:p>
    <w:p>
      <w:pPr>
        <w:spacing w:after="120"/>
        <w:jc w:val="left"/>
      </w:pPr>
      <w:r>
        <w:rPr>
          <w:sz w:val="22"/>
        </w:rPr>
        <w:t>2. Білім беру ұйымдары қызметінің үлгілік қағидалары. 31.08.2022 №385 бұйрық, 6-қосымша, 3-тарау, 92–104-тармақтар. URL: https://old.adilet.zan.kz/kaz/docs/V2200029329/compare</w:t>
      </w:r>
    </w:p>
    <w:p>
      <w:pPr>
        <w:spacing w:after="120"/>
        <w:jc w:val="left"/>
      </w:pPr>
      <w:r>
        <w:rPr>
          <w:sz w:val="22"/>
        </w:rPr>
        <w:t>3. UNICEF North Macedonia. Inclusive education is a right, not luck. 2024. Бейне және транскрипт. URL: https://www.unicef.org/northmacedonia/inclusive-education-right-not-luck-0</w:t>
      </w:r>
    </w:p>
    <w:p>
      <w:pPr>
        <w:spacing w:after="120"/>
        <w:jc w:val="left"/>
      </w:pPr>
      <w:r>
        <w:rPr>
          <w:sz w:val="22"/>
        </w:rPr>
        <w:t>4. UNICEF. Partnerships, Advocacy and Communication for Social Change. Webinar 7 — Companion Technical Booklet. 12-бет: Disability Orientation Module бейнесіне сілтеме және сипаттама. URL: https://www.unicef.org/lac/media/7711/file</w:t>
      </w:r>
    </w:p>
    <w:p>
      <w:pPr>
        <w:spacing w:after="120"/>
        <w:jc w:val="left"/>
      </w:pPr>
      <w:r>
        <w:rPr>
          <w:sz w:val="22"/>
        </w:rPr>
        <w:t>5. Коржова Г.М. және т.б. Организационно-методические основы педагогической поддержки детей с особыми образовательными потребностями в дошкольных организациях образования. Алматы, 2020. URL: https://special-edu.kz/uploads/files/methodsdoc/2020mdocs/Korjova2020/files/basic-html/page1.html</w:t>
      </w:r>
    </w:p>
    <w:p>
      <w:pPr>
        <w:spacing w:after="120"/>
        <w:jc w:val="left"/>
      </w:pPr>
      <w:r>
        <w:rPr>
          <w:sz w:val="22"/>
        </w:rPr>
        <w:t>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6-апта БӨЖ</dc:title>
  <dc:subject>ЕБҚ бар оқушылар санаты, ПМПК және ерте жастан сапалы білім</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