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БОӨЖ4</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Инклюзивті білім беру ортасы</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Ерекше білім беру қажеттіліктері бар адамдарды қолдайтын Қазақстан ұйымдары</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Жаканбаева Б.Б.</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Зерттеудің мақсаты мен әдісі</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Мемлекеттік ұйымдар</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Қорлар мен қоғамдық бірлестік</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4 Ұйымдарды салыстыру нәтижесі</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5 Сауалнама</w:t>
            <w:tab/>
            <w:t>7</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6 Жауаптарды өңдеу және зерттеу шектеуі</w:t>
            <w:tab/>
            <w:t>9</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10</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дереккөздер</w:t>
            <w:tab/>
            <w:t>10</w:t>
          </w:r>
        </w:p>
      </w:sdtContent>
    </w:sdt>
    <w:p>
      <w:pPr>
        <w:pStyle w:val="1"/>
        <w:pageBreakBefore/>
      </w:pPr>
      <w:r>
        <w:t>1 Зерттеудің мақсаты мен әдісі</w:t>
      </w:r>
    </w:p>
    <w:p>
      <w:pPr>
        <w:pStyle w:val="af"/>
        <w:spacing w:line="276" w:lineRule="auto" w:after="120"/>
        <w:ind w:firstLine="720"/>
        <w:jc w:val="both"/>
      </w:pPr>
      <w:r>
        <w:rPr>
          <w:lang w:val="kk-KZ"/>
        </w:rPr>
        <w:t>Тапсырма: ерекше білім беру қажеттіліктері бар адамдарға қолдау көрсететін Қазақстандағы қолданыстағы ұйымдарды зерттеу; мемлекеттік мекемелерді, мемлекеттік емес ұйымдарды, қайырымдылық қорлары мен қоғамдық бірлестіктерді қамту. Суретте ұсынылған «бейнеролик, сауалнама» нұсқаларының ішінен сауалнама әдісі таңдалды. Жұмыс ұйымдар туралы аяқталған құжаттық шолудан, салыстыру кестесінен және нақты сұрау жүргізуге арналған дайын сауалнамадан тұрады.</w:t>
      </w:r>
    </w:p>
    <w:p>
      <w:pPr>
        <w:pStyle w:val="af"/>
        <w:spacing w:line="276" w:lineRule="auto" w:after="120"/>
        <w:ind w:firstLine="720"/>
        <w:jc w:val="both"/>
      </w:pPr>
      <w:r>
        <w:rPr>
          <w:lang w:val="kk-KZ"/>
        </w:rPr>
        <w:t>Зерттеудің мақсаты — қолдау ұйымдарының қызметін, нысаналы тобын және білім беру ортасындағы рөлін салыстыру. Ақпарат 28.10.2026 күні ұйымдардың ресми сайттарынан және қоғамдық бірлестіктің нысанын растайтын мемлекеттік тізілімнен тексерілді. Алты ұйым таңдалды: екі мемлекеттік ұйым, үш қор және бір қоғамдық бірлестік. Бұл Қазақстандағы барлық ұйымның толық тізімі немесе сапа рейтингі емес, әртүрлі қолдау тәсілін көрсететін мақсатты іріктеу.</w:t>
      </w:r>
    </w:p>
    <w:p>
      <w:pPr>
        <w:pStyle w:val="af"/>
        <w:spacing w:line="276" w:lineRule="auto" w:after="120"/>
        <w:ind w:firstLine="720"/>
        <w:jc w:val="both"/>
      </w:pPr>
      <w:r>
        <w:rPr>
          <w:lang w:val="kk-KZ"/>
        </w:rPr>
        <w:t>Әр ұйым бойынша бес сұрақ қарастырылды: ол қандай ұйым, кімге көмектеседі, қандай қызмет ұсынады, отбасы мен мектепке қандай пайдасы бар және өтініш берерде нені нақтылау қажет? Төмендегі сипаттамалар ресми жарияланымдарға негізделген. Ұйым өкілдерімен сұхбат немесе ата-аналарға нақты сауалнама жүргізілген жоқ; сондықтан респондент жауаптары, қанағаттану пайызы немесе қызметтің тиімділігі туралы ойдан шығарылған көрсеткіш берілмейді.</w:t>
      </w:r>
    </w:p>
    <w:p>
      <w:pPr>
        <w:pStyle w:val="1"/>
      </w:pPr>
      <w:r>
        <w:t>2 Мемлекеттік ұйымдар</w:t>
      </w:r>
    </w:p>
    <w:p>
      <w:pPr>
        <w:pStyle w:val="21"/>
      </w:pPr>
      <w:r>
        <w:t>2.1 Арнайы және инклюзивті білім беруді дамытудың ұлттық ғылыми-практикалық орталығы</w:t>
      </w:r>
    </w:p>
    <w:p>
      <w:pPr>
        <w:pStyle w:val="af"/>
        <w:spacing w:line="276" w:lineRule="auto" w:after="120"/>
        <w:ind w:firstLine="720"/>
        <w:jc w:val="both"/>
      </w:pPr>
      <w:r>
        <w:rPr>
          <w:lang w:val="kk-KZ"/>
        </w:rPr>
        <w:t>Бұл орталық арнайы және инклюзивті білім берудің ғылыми-әдістемелік бағытын қолдайды. Ресми сайтында диагностикалық-консультациялық қызмет, білім беру ұйымдарына әдістемелік көмек, мамандардың біліктілігін арттыру және әдістемелік материалдар ұсынылған. Оның рөлі баламен жеке жұмыс жасаумен шектелмейді: педагогтерге қажетті тәсілді таңдауға және аймақтық қолдау тәжірибесін дамытуға жәрдемдеседі [1].</w:t>
      </w:r>
    </w:p>
    <w:p>
      <w:pPr>
        <w:pStyle w:val="af"/>
        <w:spacing w:line="276" w:lineRule="auto" w:after="120"/>
        <w:ind w:firstLine="720"/>
        <w:jc w:val="both"/>
      </w:pPr>
      <w:r>
        <w:rPr>
          <w:lang w:val="kk-KZ"/>
        </w:rPr>
        <w:t>Мектеп үшін орталықтың материалы мамандардың жұмысын жоспарлауға, ал отбасы үшін консультациялық бағытты анықтауға пайдалы. Ресми сайттағы қабылдау бөлімінде ата-ананың өз бастамасымен немесе маман жолдамасымен жүгіну мүмкіндігі сипатталған. Алайда жарияланған қабылдау бетінің күні ескі болуы мүмкін болғандықтан, қазіргі құжат тізімі мен жазылу шартын орталықтың қабылдау қызметінен нақтылау қажет. Ұлттық әдістемелік орталықты тұрғылықты жердегі әрбір ПМПК-мен бір мекеме деп қарастыруға болмайды [1].</w:t>
      </w:r>
    </w:p>
    <w:p>
      <w:pPr>
        <w:pStyle w:val="21"/>
      </w:pPr>
      <w:r>
        <w:t>2.2 Астана қаласының «Асыл Мирас» № 1 орталығы</w:t>
      </w:r>
    </w:p>
    <w:p>
      <w:pPr>
        <w:pStyle w:val="af"/>
        <w:spacing w:line="276" w:lineRule="auto" w:after="120"/>
        <w:ind w:firstLine="720"/>
        <w:jc w:val="both"/>
      </w:pPr>
      <w:r>
        <w:rPr>
          <w:lang w:val="kk-KZ"/>
        </w:rPr>
        <w:t>Астана қаласы әкімдігінің «Асыл Мирас» № 1 аутизмі бар балаларды қолдау орталығы коммуналдық мемлекеттік мекеме ретінде жұмыс істейді. Ресми бетінде аутизм спектріндегі балалар мен отбасыларына психологиялық-педагогикалық қолдау, оқу, өмірлік және әлеуметтік дағдыларды дамыту бағыттары көрсетілген. Ата-аналарға үйрету жұмысы да сипатталған [2].</w:t>
      </w:r>
    </w:p>
    <w:p>
      <w:pPr>
        <w:pStyle w:val="af"/>
        <w:spacing w:line="276" w:lineRule="auto" w:after="120"/>
        <w:ind w:firstLine="720"/>
        <w:jc w:val="both"/>
      </w:pPr>
      <w:r>
        <w:rPr>
          <w:lang w:val="kk-KZ"/>
        </w:rPr>
        <w:t>Бұл ұйымның ерекшелігі — мемлекеттік мекеме мен қайырымдылық қордың серіктестігі. Сайт мәліметіне сәйкес, орталық мемлекетке берілгеннен кейін Болат Өтемұратов қоры әзірлеген бағдарламаны жалғастырған. Сондықтан «Асыл Мирас» бағдарламасының атауы барлық орталықтың құқықтық нысаны бірдей екенін білдірмейді. Отбасы нақты қаладағы орталықтың қабылдау шартын, жас тобын, бос орнын және мамандармен жұмыс тәртібін сол мекемеден анықтауы тиіс [2].</w:t>
      </w:r>
    </w:p>
    <w:p>
      <w:pPr>
        <w:pStyle w:val="1"/>
      </w:pPr>
      <w:r>
        <w:t>3 Қорлар мен қоғамдық бірлестік</w:t>
      </w:r>
    </w:p>
    <w:p>
      <w:pPr>
        <w:pStyle w:val="21"/>
      </w:pPr>
      <w:r>
        <w:t>3.1 «Дара» қайырымдылық қоры</w:t>
      </w:r>
    </w:p>
    <w:p>
      <w:pPr>
        <w:pStyle w:val="af"/>
        <w:spacing w:line="276" w:lineRule="auto" w:after="120"/>
        <w:ind w:firstLine="720"/>
        <w:jc w:val="both"/>
      </w:pPr>
      <w:r>
        <w:rPr>
          <w:lang w:val="kk-KZ"/>
        </w:rPr>
        <w:t>«Дара» қоры ерекше білім беру қажеттіліктері бар балалардың дамуы мен әлеуметтенуіне бағытталған жобаларды іске асырады. Оның «Инклюзия» бағыты психологиялық-педагогикалық қолдау орталықтарын дамыту, ерте қолдау, көру қабілеті бұзылған балалардың оқуына жағдай жасау және инклюзивті білім беру жобаларын қамтиды. Қордың қызметі мемлекеттік және қоғамдық серіктестермен ынтымақтастыққа сүйенеді [3].</w:t>
      </w:r>
    </w:p>
    <w:p>
      <w:pPr>
        <w:pStyle w:val="af"/>
        <w:spacing w:line="276" w:lineRule="auto" w:after="120"/>
        <w:ind w:firstLine="720"/>
        <w:jc w:val="both"/>
      </w:pPr>
      <w:r>
        <w:rPr>
          <w:lang w:val="kk-KZ"/>
        </w:rPr>
        <w:t>Мұндай қордың үлесі тек жеке көмекпен өлшенбейді: ол қолдау ортасының материалдық және әдістемелік мүмкіндігін кеңейте алады. Зерттеу барысында отбасыға ең жақын жоба, серіктес мекеме және сол жобаның нысаналы тобы бөлек анықталуы керек. Қордың болуы барлық қызметтің әр өңірде бірдей ұсынылатынын білдірмейді. Сондықтан ресми жоба географиясын және жергілікті серіктесін тексеру маңызды [3].</w:t>
      </w:r>
    </w:p>
    <w:p>
      <w:pPr>
        <w:pStyle w:val="21"/>
      </w:pPr>
      <w:r>
        <w:t>3.2 «Болашақ» қоғамдық қоры</w:t>
      </w:r>
    </w:p>
    <w:p>
      <w:pPr>
        <w:pStyle w:val="af"/>
        <w:spacing w:line="276" w:lineRule="auto" w:after="120"/>
        <w:ind w:firstLine="720"/>
        <w:jc w:val="both"/>
      </w:pPr>
      <w:r>
        <w:rPr>
          <w:lang w:val="kk-KZ"/>
        </w:rPr>
        <w:t>Bolashak Charity қоғамдық қорының «Әр бала мектепке лайықты» жобасы аутизмі және өзге де даму ерекшеліктері бар балалардың білім беру ұйымдарына қосылуын қолдайды. Ресми ресурста инклюзияны қолдау кабинеттері, әдістемелік сүйемелдеу, ата-аналарға арналған бейнематериалдар және мамандарды оқыту бағыттары көрсетілген [4].</w:t>
      </w:r>
    </w:p>
    <w:p>
      <w:pPr>
        <w:pStyle w:val="af"/>
        <w:spacing w:line="276" w:lineRule="auto" w:after="120"/>
        <w:ind w:firstLine="720"/>
        <w:jc w:val="both"/>
      </w:pPr>
      <w:r>
        <w:rPr>
          <w:lang w:val="kk-KZ"/>
        </w:rPr>
        <w:t>Бұл бағыттың білім беру ортасына қатысы тікелей: мақсат — баланың мектептегі оқуына қажетті жағдайды дамыту. Сауалнамада кабинет ашылғанын ғана емес, оның ортақ сабаққа қатысуға қалай көмектесетінін сұраған дұрыс. Мектептен тыс қолдау мен сыныптағы күнделікті жұмыстың сабақтастығы зерттелуі қажет. Қатысу және қызмет құны туралы сұрақтар нақты жоба мен серіктес мектепке қатысты нақтыланады [4].</w:t>
      </w:r>
    </w:p>
    <w:p>
      <w:pPr>
        <w:pStyle w:val="21"/>
      </w:pPr>
      <w:r>
        <w:t>3.3 Болат Өтемұратов қоры</w:t>
      </w:r>
    </w:p>
    <w:p>
      <w:pPr>
        <w:pStyle w:val="af"/>
        <w:spacing w:line="276" w:lineRule="auto" w:after="120"/>
        <w:ind w:firstLine="720"/>
        <w:jc w:val="both"/>
      </w:pPr>
      <w:r>
        <w:rPr>
          <w:lang w:val="kk-KZ"/>
        </w:rPr>
        <w:t>Болат Өтемұратов қоры — «Аутизм. Баршамызға бір әлем» бағдарламасын іске асыратын жеке қор. Ресми бағдарлама бетінде «Асыл Мирас» орталықтары арқылы коммуникация, өзін-өзі күту және әлеуметтену дағдыларын қолдау, отбасы мен мамандарға көмек көрсету бағыттары берілген. Бағдарлама бетінде орталықтардағы мінез-құлықты қолдау бағдарламаларының тегін ұсынылатыны көрсетілген [5].</w:t>
      </w:r>
    </w:p>
    <w:p>
      <w:pPr>
        <w:pStyle w:val="af"/>
        <w:spacing w:line="276" w:lineRule="auto" w:after="120"/>
        <w:ind w:firstLine="720"/>
        <w:jc w:val="both"/>
      </w:pPr>
      <w:r>
        <w:rPr>
          <w:lang w:val="kk-KZ"/>
        </w:rPr>
        <w:t>Қордың қызметін нақты орталықтың күнделікті қабылдау қызметінен ажырату қажет. Қор бағдарламаны және оның инфрақұрылымын қолдайды, ал баламен жұмысты тиісті орталық ұйымдастырады. Осы зерттеуде қор мен Астанадағы мемлекеттік орталық жеке ұйым ретінде қарастырылды, бірақ олардың ортақ бағдарламаға қатысатыны ашық көрсетілді. Бір бағдарламаның нәтижесін екі тәуелсіз нәтиже ретінде қосып есептеу дұрыс болмайды [2; 5].</w:t>
      </w:r>
    </w:p>
    <w:p>
      <w:pPr>
        <w:pStyle w:val="21"/>
      </w:pPr>
      <w:r>
        <w:t>3.4 «АРДИ» ата-аналар қауымдастығы</w:t>
      </w:r>
    </w:p>
    <w:p>
      <w:pPr>
        <w:pStyle w:val="af"/>
        <w:spacing w:line="276" w:lineRule="auto" w:after="120"/>
        <w:ind w:firstLine="720"/>
        <w:jc w:val="both"/>
      </w:pPr>
      <w:r>
        <w:rPr>
          <w:lang w:val="kk-KZ"/>
        </w:rPr>
        <w:t>«АРДИ» мүгедектігі бар балалардың ата-аналар қауымдастығының ұйымдық нысаны мемлекеттік сатып алу тізілімінде қоғамдық бірлестік деп көрсетілген [7]. Оның ресми сайтында балалар мен жастарға арналған оңалту және шығармашылық даму орталықтары, ерте араласу және отбасыларды қолдау бағыттары жарияланған. Қауымдастық ата-аналардың бастамасынан қалыптасқан қоғамдық қатысу үлгісін көрсетеді [6].</w:t>
      </w:r>
    </w:p>
    <w:p>
      <w:pPr>
        <w:pStyle w:val="af"/>
        <w:spacing w:line="276" w:lineRule="auto" w:after="120"/>
        <w:ind w:firstLine="720"/>
        <w:jc w:val="both"/>
      </w:pPr>
      <w:r>
        <w:rPr>
          <w:lang w:val="kk-KZ"/>
        </w:rPr>
        <w:t>«АРДИ» мысалы қолдаудың оқу кабинетімен шектелмейтінін көрсетеді: қозғалыс, шығармашылық, қарым-қатынас және күнделікті дербестік те баланың қатысуына әсер етеді. Дегенмен оңалту қызметінің болуы мектептің оқу жағдайын қамтамасыз ету міндетін алмастырмайды. Отбасы нақты орталықтан бағдарламаның бағытын, мамандарын, қатысу шартын және оқу мекемесімен ақпарат алмасу мүмкіндігін сұрауы керек [6].</w:t>
      </w:r>
    </w:p>
    <w:p>
      <w:pPr>
        <w:pStyle w:val="1"/>
      </w:pPr>
      <w:r>
        <w:t>4 Ұйымдарды салыстыру нәтижесі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3816"/>
        <w:gridCol w:w="1800"/>
        <w:gridCol w:w="3787"/>
      </w:tblGrid>
      <w:tr>
        <w:trPr>
          <w:tblHeader/>
          <w:cantSplit/>
        </w:trPr>
        <w:tc>
          <w:tcPr>
            <w:tcW w:type="dxa" w:w="3816"/>
            <w:vAlign w:val="center"/>
            <w:shd w:fill="EEEEEE"/>
          </w:tcPr>
          <w:p>
            <w:pPr>
              <w:spacing w:after="60" w:before="60" w:line="240" w:lineRule="auto"/>
            </w:pPr>
            <w:r>
              <w:rPr>
                <w:rFonts w:ascii="Times New Roman" w:hAnsi="Times New Roman"/>
                <w:b/>
                <w:sz w:val="22"/>
              </w:rPr>
              <w:t>Ұйым</w:t>
            </w:r>
          </w:p>
        </w:tc>
        <w:tc>
          <w:tcPr>
            <w:tcW w:type="dxa" w:w="1800"/>
            <w:vAlign w:val="center"/>
            <w:shd w:fill="EEEEEE"/>
          </w:tcPr>
          <w:p>
            <w:pPr>
              <w:spacing w:after="60" w:before="60" w:line="240" w:lineRule="auto"/>
            </w:pPr>
            <w:r>
              <w:rPr>
                <w:rFonts w:ascii="Times New Roman" w:hAnsi="Times New Roman"/>
                <w:b/>
                <w:sz w:val="22"/>
              </w:rPr>
              <w:t>Нысаны</w:t>
            </w:r>
          </w:p>
        </w:tc>
        <w:tc>
          <w:tcPr>
            <w:tcW w:type="dxa" w:w="3787"/>
            <w:vAlign w:val="center"/>
            <w:shd w:fill="EEEEEE"/>
          </w:tcPr>
          <w:p>
            <w:pPr>
              <w:spacing w:after="60" w:before="60" w:line="240" w:lineRule="auto"/>
            </w:pPr>
            <w:r>
              <w:rPr>
                <w:rFonts w:ascii="Times New Roman" w:hAnsi="Times New Roman"/>
                <w:b/>
                <w:sz w:val="22"/>
              </w:rPr>
              <w:t>Қолдаудағы негізгі рөлі</w:t>
            </w:r>
          </w:p>
        </w:tc>
      </w:tr>
      <w:tr>
        <w:trPr>
          <w:cantSplit/>
        </w:trPr>
        <w:tc>
          <w:tcPr>
            <w:tcW w:type="dxa" w:w="3816"/>
            <w:vAlign w:val="center"/>
          </w:tcPr>
          <w:p>
            <w:pPr>
              <w:spacing w:after="60" w:before="60" w:line="240" w:lineRule="auto"/>
            </w:pPr>
            <w:r>
              <w:rPr>
                <w:rFonts w:ascii="Times New Roman" w:hAnsi="Times New Roman"/>
                <w:b w:val="0"/>
                <w:sz w:val="22"/>
              </w:rPr>
              <w:t>Ұлттық ғылыми-практикалық орталық [1]</w:t>
            </w:r>
          </w:p>
        </w:tc>
        <w:tc>
          <w:tcPr>
            <w:tcW w:type="dxa" w:w="1800"/>
            <w:vAlign w:val="center"/>
          </w:tcPr>
          <w:p>
            <w:pPr>
              <w:spacing w:after="60" w:before="60" w:line="240" w:lineRule="auto"/>
            </w:pPr>
            <w:r>
              <w:rPr>
                <w:rFonts w:ascii="Times New Roman" w:hAnsi="Times New Roman"/>
                <w:b w:val="0"/>
                <w:sz w:val="22"/>
              </w:rPr>
              <w:t>Мемлекеттік ұйым</w:t>
            </w:r>
          </w:p>
        </w:tc>
        <w:tc>
          <w:tcPr>
            <w:tcW w:type="dxa" w:w="3787"/>
            <w:vAlign w:val="center"/>
          </w:tcPr>
          <w:p>
            <w:pPr>
              <w:spacing w:after="60" w:before="60" w:line="240" w:lineRule="auto"/>
            </w:pPr>
            <w:r>
              <w:rPr>
                <w:rFonts w:ascii="Times New Roman" w:hAnsi="Times New Roman"/>
                <w:b w:val="0"/>
                <w:sz w:val="22"/>
              </w:rPr>
              <w:t>Әдістеме консультация және педагогтерді оқыту</w:t>
            </w:r>
          </w:p>
        </w:tc>
      </w:tr>
      <w:tr>
        <w:trPr>
          <w:cantSplit/>
        </w:trPr>
        <w:tc>
          <w:tcPr>
            <w:tcW w:type="dxa" w:w="3816"/>
            <w:vAlign w:val="center"/>
          </w:tcPr>
          <w:p>
            <w:pPr>
              <w:spacing w:after="60" w:before="60" w:line="240" w:lineRule="auto"/>
            </w:pPr>
            <w:r>
              <w:rPr>
                <w:rFonts w:ascii="Times New Roman" w:hAnsi="Times New Roman"/>
                <w:b w:val="0"/>
                <w:sz w:val="22"/>
              </w:rPr>
              <w:t>Астана «Асыл Мирас» № 1 [2]</w:t>
            </w:r>
          </w:p>
        </w:tc>
        <w:tc>
          <w:tcPr>
            <w:tcW w:type="dxa" w:w="1800"/>
            <w:vAlign w:val="center"/>
          </w:tcPr>
          <w:p>
            <w:pPr>
              <w:spacing w:after="60" w:before="60" w:line="240" w:lineRule="auto"/>
            </w:pPr>
            <w:r>
              <w:rPr>
                <w:rFonts w:ascii="Times New Roman" w:hAnsi="Times New Roman"/>
                <w:b w:val="0"/>
                <w:sz w:val="22"/>
              </w:rPr>
              <w:t>Мемлекеттік мекеме</w:t>
            </w:r>
          </w:p>
        </w:tc>
        <w:tc>
          <w:tcPr>
            <w:tcW w:type="dxa" w:w="3787"/>
            <w:vAlign w:val="center"/>
          </w:tcPr>
          <w:p>
            <w:pPr>
              <w:spacing w:after="60" w:before="60" w:line="240" w:lineRule="auto"/>
            </w:pPr>
            <w:r>
              <w:rPr>
                <w:rFonts w:ascii="Times New Roman" w:hAnsi="Times New Roman"/>
                <w:b w:val="0"/>
                <w:sz w:val="22"/>
              </w:rPr>
              <w:t>Аутизмі бар балалардың дағдыларын қолдау</w:t>
            </w:r>
          </w:p>
        </w:tc>
      </w:tr>
      <w:tr>
        <w:trPr>
          <w:cantSplit/>
        </w:trPr>
        <w:tc>
          <w:tcPr>
            <w:tcW w:type="dxa" w:w="3816"/>
            <w:vAlign w:val="center"/>
          </w:tcPr>
          <w:p>
            <w:pPr>
              <w:spacing w:after="60" w:before="60" w:line="240" w:lineRule="auto"/>
            </w:pPr>
            <w:r>
              <w:rPr>
                <w:rFonts w:ascii="Times New Roman" w:hAnsi="Times New Roman"/>
                <w:b w:val="0"/>
                <w:sz w:val="22"/>
              </w:rPr>
              <w:t>«Дара» [3]</w:t>
            </w:r>
          </w:p>
        </w:tc>
        <w:tc>
          <w:tcPr>
            <w:tcW w:type="dxa" w:w="1800"/>
            <w:vAlign w:val="center"/>
          </w:tcPr>
          <w:p>
            <w:pPr>
              <w:spacing w:after="60" w:before="60" w:line="240" w:lineRule="auto"/>
            </w:pPr>
            <w:r>
              <w:rPr>
                <w:rFonts w:ascii="Times New Roman" w:hAnsi="Times New Roman"/>
                <w:b w:val="0"/>
                <w:sz w:val="22"/>
              </w:rPr>
              <w:t>Қайырымдылық қоры</w:t>
            </w:r>
          </w:p>
        </w:tc>
        <w:tc>
          <w:tcPr>
            <w:tcW w:type="dxa" w:w="3787"/>
            <w:vAlign w:val="center"/>
          </w:tcPr>
          <w:p>
            <w:pPr>
              <w:spacing w:after="60" w:before="60" w:line="240" w:lineRule="auto"/>
            </w:pPr>
            <w:r>
              <w:rPr>
                <w:rFonts w:ascii="Times New Roman" w:hAnsi="Times New Roman"/>
                <w:b w:val="0"/>
                <w:sz w:val="22"/>
              </w:rPr>
              <w:t>Ерте қолдау және инклюзивті орта жобалары</w:t>
            </w:r>
          </w:p>
        </w:tc>
      </w:tr>
      <w:tr>
        <w:trPr>
          <w:cantSplit/>
        </w:trPr>
        <w:tc>
          <w:tcPr>
            <w:tcW w:type="dxa" w:w="3816"/>
            <w:vAlign w:val="center"/>
          </w:tcPr>
          <w:p>
            <w:pPr>
              <w:spacing w:after="60" w:before="60" w:line="240" w:lineRule="auto"/>
            </w:pPr>
            <w:r>
              <w:rPr>
                <w:rFonts w:ascii="Times New Roman" w:hAnsi="Times New Roman"/>
                <w:b w:val="0"/>
                <w:sz w:val="22"/>
              </w:rPr>
              <w:t>«Болашақ» [4]</w:t>
            </w:r>
          </w:p>
        </w:tc>
        <w:tc>
          <w:tcPr>
            <w:tcW w:type="dxa" w:w="1800"/>
            <w:vAlign w:val="center"/>
          </w:tcPr>
          <w:p>
            <w:pPr>
              <w:spacing w:after="60" w:before="60" w:line="240" w:lineRule="auto"/>
            </w:pPr>
            <w:r>
              <w:rPr>
                <w:rFonts w:ascii="Times New Roman" w:hAnsi="Times New Roman"/>
                <w:b w:val="0"/>
                <w:sz w:val="22"/>
              </w:rPr>
              <w:t>Қоғамдық қор</w:t>
            </w:r>
          </w:p>
        </w:tc>
        <w:tc>
          <w:tcPr>
            <w:tcW w:type="dxa" w:w="3787"/>
            <w:vAlign w:val="center"/>
          </w:tcPr>
          <w:p>
            <w:pPr>
              <w:spacing w:after="60" w:before="60" w:line="240" w:lineRule="auto"/>
            </w:pPr>
            <w:r>
              <w:rPr>
                <w:rFonts w:ascii="Times New Roman" w:hAnsi="Times New Roman"/>
                <w:b w:val="0"/>
                <w:sz w:val="22"/>
              </w:rPr>
              <w:t>Мектепке қосылу және инклюзия кабинеттері</w:t>
            </w:r>
          </w:p>
        </w:tc>
      </w:tr>
      <w:tr>
        <w:trPr>
          <w:cantSplit/>
        </w:trPr>
        <w:tc>
          <w:tcPr>
            <w:tcW w:type="dxa" w:w="3816"/>
            <w:vAlign w:val="center"/>
          </w:tcPr>
          <w:p>
            <w:pPr>
              <w:spacing w:after="60" w:before="60" w:line="240" w:lineRule="auto"/>
            </w:pPr>
            <w:r>
              <w:rPr>
                <w:rFonts w:ascii="Times New Roman" w:hAnsi="Times New Roman"/>
                <w:b w:val="0"/>
                <w:sz w:val="22"/>
              </w:rPr>
              <w:t>Болат Өтемұратов қоры [5]</w:t>
            </w:r>
          </w:p>
        </w:tc>
        <w:tc>
          <w:tcPr>
            <w:tcW w:type="dxa" w:w="1800"/>
            <w:vAlign w:val="center"/>
          </w:tcPr>
          <w:p>
            <w:pPr>
              <w:spacing w:after="60" w:before="60" w:line="240" w:lineRule="auto"/>
            </w:pPr>
            <w:r>
              <w:rPr>
                <w:rFonts w:ascii="Times New Roman" w:hAnsi="Times New Roman"/>
                <w:b w:val="0"/>
                <w:sz w:val="22"/>
              </w:rPr>
              <w:t>Жеке қор</w:t>
            </w:r>
          </w:p>
        </w:tc>
        <w:tc>
          <w:tcPr>
            <w:tcW w:type="dxa" w:w="3787"/>
            <w:vAlign w:val="center"/>
          </w:tcPr>
          <w:p>
            <w:pPr>
              <w:spacing w:after="60" w:before="60" w:line="240" w:lineRule="auto"/>
            </w:pPr>
            <w:r>
              <w:rPr>
                <w:rFonts w:ascii="Times New Roman" w:hAnsi="Times New Roman"/>
                <w:b w:val="0"/>
                <w:sz w:val="22"/>
              </w:rPr>
              <w:t>«Асыл Мирас» бағдарламасы мен жүйесін қолдау</w:t>
            </w:r>
          </w:p>
        </w:tc>
      </w:tr>
      <w:tr>
        <w:trPr>
          <w:cantSplit/>
        </w:trPr>
        <w:tc>
          <w:tcPr>
            <w:tcW w:type="dxa" w:w="3816"/>
            <w:vAlign w:val="center"/>
          </w:tcPr>
          <w:p>
            <w:pPr>
              <w:spacing w:after="60" w:before="60" w:line="240" w:lineRule="auto"/>
            </w:pPr>
            <w:r>
              <w:rPr>
                <w:rFonts w:ascii="Times New Roman" w:hAnsi="Times New Roman"/>
                <w:b w:val="0"/>
                <w:sz w:val="22"/>
              </w:rPr>
              <w:t>«АРДИ» [6; 7]</w:t>
            </w:r>
          </w:p>
        </w:tc>
        <w:tc>
          <w:tcPr>
            <w:tcW w:type="dxa" w:w="1800"/>
            <w:vAlign w:val="center"/>
          </w:tcPr>
          <w:p>
            <w:pPr>
              <w:spacing w:after="60" w:before="60" w:line="240" w:lineRule="auto"/>
            </w:pPr>
            <w:r>
              <w:rPr>
                <w:rFonts w:ascii="Times New Roman" w:hAnsi="Times New Roman"/>
                <w:b w:val="0"/>
                <w:sz w:val="22"/>
              </w:rPr>
              <w:t>Қоғамдық бірлестік</w:t>
            </w:r>
          </w:p>
        </w:tc>
        <w:tc>
          <w:tcPr>
            <w:tcW w:type="dxa" w:w="3787"/>
            <w:vAlign w:val="center"/>
          </w:tcPr>
          <w:p>
            <w:pPr>
              <w:spacing w:after="60" w:before="60" w:line="240" w:lineRule="auto"/>
            </w:pPr>
            <w:r>
              <w:rPr>
                <w:rFonts w:ascii="Times New Roman" w:hAnsi="Times New Roman"/>
                <w:b w:val="0"/>
                <w:sz w:val="22"/>
              </w:rPr>
              <w:t>Ата-аналар қауымдастығы оңалту және әлеуметтік қатысу</w:t>
            </w:r>
          </w:p>
        </w:tc>
      </w:tr>
    </w:tbl>
    <w:p>
      <w:pPr>
        <w:pStyle w:val="af"/>
        <w:spacing w:line="276" w:lineRule="auto" w:after="120"/>
        <w:ind w:firstLine="720"/>
        <w:jc w:val="both"/>
      </w:pPr>
      <w:r>
        <w:rPr>
          <w:lang w:val="kk-KZ"/>
        </w:rPr>
        <w:t>Салыстыру ұйымдардың өзара толықтыратын қызметін көрсетеді. Бірі әдістемелік жүйені дамытады, екіншісі баламен тікелей жұмыс істейді, ал қорлар мен қоғамдық бірлестік қосымша ресурс және әлеуметтік байланыс ұсынады. Қоғамдық қор мен қоғамдық бірлестіктің атауындағы «қоғамдық» сөзі олардың бірдей ұйымдық нысан екенін білдірмейді. Ұйым атауы, нақты қызмет және қызмет көрсететін орын бөлек тексеріледі.</w:t>
      </w:r>
    </w:p>
    <w:p>
      <w:pPr>
        <w:pStyle w:val="af"/>
        <w:spacing w:line="276" w:lineRule="auto" w:after="120"/>
        <w:ind w:firstLine="720"/>
        <w:jc w:val="both"/>
      </w:pPr>
      <w:r>
        <w:rPr>
          <w:lang w:val="kk-KZ"/>
        </w:rPr>
        <w:t>Ашық сайттар қызмет бағытын білуге мүмкіндік береді, бірақ нақты отбасының тәжірибесін толық көрсетпейді. Кезек ұзақтығы, ғимараттағы қолжетімділік, маманның тұрақтылығы және мектеппен байланыс туралы дерек әрдайым толық жарияланбайды. Сондықтан құжаттық шолу сауалнама арқылы нақтыланатын сұрақтарды анықтады. Белгісіз мәлімет «жоқ» деп белгіленбейді; ол «нақтылау қажет» санатына енгізіледі.</w:t>
      </w:r>
    </w:p>
    <w:p>
      <w:pPr>
        <w:pStyle w:val="1"/>
        <w:pageBreakBefore/>
      </w:pPr>
      <w:r>
        <w:t>5 Сауалнама</w:t>
      </w:r>
    </w:p>
    <w:p>
      <w:pPr>
        <w:pStyle w:val="21"/>
      </w:pPr>
      <w:r>
        <w:t>5.1 Өткізу тәртібі</w:t>
      </w:r>
    </w:p>
    <w:p>
      <w:pPr>
        <w:pStyle w:val="af"/>
        <w:spacing w:line="276" w:lineRule="auto" w:after="120"/>
        <w:ind w:firstLine="720"/>
        <w:jc w:val="both"/>
      </w:pPr>
      <w:r>
        <w:rPr>
          <w:lang w:val="kk-KZ"/>
        </w:rPr>
        <w:t>Сауалнаманың атауы: «Ерекше білім беру қажеттіліктері бар адамдарды қолдау ұйымдарының қызметі». Респондент — зерттеуге қатысуға ерікті түрде келісетін ұйымның кәмелетке толған өкілі. Мақсат — ресми сайттағы мәліметті нақтылау және қызметке қолжетімділікті салыстыру. Бір өкілдің жауабы бүкіл ұйым қызметінің сапасын толық өлшемейді; қажет жағдайда жарияланған құжатпен салыстырылады.</w:t>
      </w:r>
    </w:p>
    <w:p>
      <w:pPr>
        <w:pStyle w:val="af"/>
        <w:spacing w:line="276" w:lineRule="auto" w:after="120"/>
        <w:ind w:firstLine="720"/>
        <w:jc w:val="both"/>
      </w:pPr>
      <w:r>
        <w:rPr>
          <w:lang w:val="kk-KZ"/>
        </w:rPr>
        <w:t>Қатысу ерікті. Респондент кез келген сұрақты өткізіп жіберуге немесе қатысуды тоқтатуға құқылы. Баланың аты-жөні, диагнозы, құжат нөмірі және жеке байланыс деректері сұралмайды. Жауаптар оқу мақсатында ұйым деңгейінде талданады. Төмендегі бланк нақты жауап алынған кезде ғана толтырылады. Болжамды толтыру уақыты — 8–10 минут.</w:t>
      </w:r>
    </w:p>
    <w:p>
      <w:pPr>
        <w:keepLines/>
        <w:spacing w:after="140" w:line="276" w:lineRule="auto"/>
      </w:pPr>
      <w:r>
        <w:rPr>
          <w:sz w:val="24"/>
        </w:rPr>
        <w:t>Сауалнама коды: __________  Күні: __________</w:t>
      </w:r>
    </w:p>
    <w:p>
      <w:pPr>
        <w:keepNext/>
        <w:spacing w:before="140" w:after="80"/>
      </w:pPr>
      <w:r>
        <w:rPr>
          <w:b/>
          <w:sz w:val="24"/>
        </w:rPr>
        <w:t>1. Зерттеудің мақсатын түсініп, ерікті түрде қатысуға келісесіз бе? Бір жауап.</w:t>
      </w:r>
    </w:p>
    <w:p>
      <w:pPr>
        <w:keepLines/>
        <w:spacing w:after="140" w:line="276" w:lineRule="auto"/>
      </w:pPr>
      <w:r>
        <w:rPr>
          <w:sz w:val="24"/>
        </w:rPr>
        <w:t>( ) Иә     ( ) Жоқ. «Жоқ» болса, сауалнаманы аяқтаңыз.</w:t>
      </w:r>
    </w:p>
    <w:p>
      <w:pPr>
        <w:keepNext/>
        <w:spacing w:before="140" w:after="80"/>
      </w:pPr>
      <w:r>
        <w:rPr>
          <w:b/>
          <w:sz w:val="24"/>
        </w:rPr>
        <w:t>2. Қай ұйымның атынан жауап бересіз және қызмет бағытыңыз қандай?</w:t>
      </w:r>
    </w:p>
    <w:p>
      <w:pPr>
        <w:keepLines/>
        <w:spacing w:after="140" w:line="276" w:lineRule="auto"/>
      </w:pPr>
      <w:r>
        <w:rPr>
          <w:sz w:val="24"/>
        </w:rPr>
        <w:t>Ұйымның атауы: ______________________________________</w:t>
        <w:br/>
        <w:t>Қызмет бағыты: ________________________________________</w:t>
      </w:r>
    </w:p>
    <w:p>
      <w:pPr>
        <w:keepNext/>
        <w:spacing w:before="140" w:after="80"/>
      </w:pPr>
      <w:r>
        <w:rPr>
          <w:b/>
          <w:sz w:val="24"/>
        </w:rPr>
        <w:t>3. Ұйымыңыздың нысаны қандай? Бір жауап.</w:t>
      </w:r>
    </w:p>
    <w:p>
      <w:pPr>
        <w:keepLines/>
        <w:spacing w:after="140" w:line="276" w:lineRule="auto"/>
      </w:pPr>
      <w:r>
        <w:rPr>
          <w:sz w:val="24"/>
        </w:rPr>
        <w:t>( ) Мемлекеттік мекеме не кәсіпорын</w:t>
        <w:br/>
        <w:t>( ) Қоғамдық қор     ( ) Жеке қор</w:t>
        <w:br/>
        <w:t>( ) Қоғамдық бірлестік     ( ) Басқа: __________________</w:t>
      </w:r>
    </w:p>
    <w:p>
      <w:pPr>
        <w:keepNext/>
        <w:spacing w:before="140" w:after="80"/>
      </w:pPr>
      <w:r>
        <w:rPr>
          <w:b/>
          <w:sz w:val="24"/>
        </w:rPr>
        <w:t>4. Қандай топтарға қолдау көрсетесіз? Бірнеше жауапқа болады.</w:t>
      </w:r>
    </w:p>
    <w:p>
      <w:pPr>
        <w:keepLines/>
        <w:spacing w:after="140" w:line="276" w:lineRule="auto"/>
      </w:pPr>
      <w:r>
        <w:rPr>
          <w:sz w:val="24"/>
        </w:rPr>
        <w:t>( ) Мектепке дейінгі балалар     ( ) Мектеп оқушылары</w:t>
        <w:br/>
        <w:t>( ) Жастар не ересектер     ( ) Ата-аналар</w:t>
        <w:br/>
        <w:t>( ) Педагогтер     ( ) Басқа: __________________________</w:t>
      </w:r>
    </w:p>
    <w:p>
      <w:pPr>
        <w:keepNext/>
        <w:spacing w:before="140" w:after="80"/>
      </w:pPr>
      <w:r>
        <w:rPr>
          <w:b/>
          <w:sz w:val="24"/>
        </w:rPr>
        <w:t>5. Негізгі қызметтеріңіз қандай? Бірнеше жауапқа болады.</w:t>
      </w:r>
    </w:p>
    <w:p>
      <w:pPr>
        <w:keepLines/>
        <w:spacing w:after="140" w:line="276" w:lineRule="auto"/>
      </w:pPr>
      <w:r>
        <w:rPr>
          <w:sz w:val="24"/>
        </w:rPr>
        <w:t>( ) Психологиялық-педагогикалық қолдау</w:t>
        <w:br/>
        <w:t>( ) Ерте қолдау     ( ) Оңалту не әлеуметтік бейімдеу</w:t>
        <w:br/>
        <w:t>( ) Әдістемелік көмек     ( ) Мамандарды оқыту</w:t>
        <w:br/>
        <w:t>( ) Материалдық не инфрақұрылымдық қолдау</w:t>
        <w:br/>
        <w:t>( ) Басқа: ____________________________________________</w:t>
      </w:r>
    </w:p>
    <w:p>
      <w:pPr>
        <w:keepNext/>
        <w:spacing w:before="140" w:after="80"/>
      </w:pPr>
      <w:r>
        <w:rPr>
          <w:b/>
          <w:sz w:val="24"/>
        </w:rPr>
        <w:t>6. Қызметке жүгінудің қазіргі жолы қандай? Бірнеше жауапқа болады.</w:t>
      </w:r>
    </w:p>
    <w:p>
      <w:pPr>
        <w:keepLines/>
        <w:spacing w:after="140" w:line="276" w:lineRule="auto"/>
      </w:pPr>
      <w:r>
        <w:rPr>
          <w:sz w:val="24"/>
        </w:rPr>
        <w:t>( ) Ата-ананың тікелей өтініші     ( ) Мектеп жолдамасы</w:t>
        <w:br/>
        <w:t>( ) ПМПК ұсынысы     ( ) Алдын ала жазылу</w:t>
        <w:br/>
        <w:t>( ) Жоба не бағдарлама арқылы</w:t>
        <w:br/>
        <w:t>Қажетті құжаттар мен шарттар: __________________________</w:t>
      </w:r>
    </w:p>
    <w:p>
      <w:pPr>
        <w:keepNext/>
        <w:spacing w:before="140" w:after="80"/>
      </w:pPr>
      <w:r>
        <w:rPr>
          <w:b/>
          <w:sz w:val="24"/>
        </w:rPr>
        <w:t>7. Негізгі қолдау қызметінің қаржыландырылуы қандай? Бір жауап.</w:t>
      </w:r>
    </w:p>
    <w:p>
      <w:pPr>
        <w:keepLines/>
        <w:spacing w:after="140" w:line="276" w:lineRule="auto"/>
      </w:pPr>
      <w:r>
        <w:rPr>
          <w:sz w:val="24"/>
        </w:rPr>
        <w:t>( ) Алушы үшін тегін     ( ) Ақылы</w:t>
        <w:br/>
        <w:t>( ) Аралас: тегін және ақылы қызмет бар</w:t>
        <w:br/>
        <w:t>( ) Бағдарламаға байланысты</w:t>
        <w:br/>
        <w:t>Түсіндірме: ___________________________________________</w:t>
      </w:r>
    </w:p>
    <w:p>
      <w:pPr>
        <w:keepNext/>
        <w:spacing w:before="140" w:after="80"/>
      </w:pPr>
      <w:r>
        <w:rPr>
          <w:b/>
          <w:sz w:val="24"/>
        </w:rPr>
        <w:t>8. Қолжетімділік жағдайларының қайсысы қарастырылған? Әр тармаққа «бар», «жоқ», «нақтылау қажет» деп жазыңыз.</w:t>
      </w:r>
    </w:p>
    <w:p>
      <w:pPr>
        <w:keepLines/>
        <w:spacing w:after="140" w:line="276" w:lineRule="auto"/>
      </w:pPr>
      <w:r>
        <w:rPr>
          <w:sz w:val="24"/>
        </w:rPr>
        <w:t>Ғимаратқа кіру және қозғалу: ___________________________</w:t>
        <w:br/>
        <w:t>Түсінікті тілдегі ақпарат: _________________________________</w:t>
        <w:br/>
        <w:t>Балама не қашықтан байланыс: ___________________________</w:t>
        <w:br/>
        <w:t>Сенсорлық қажеттілікті ескеру: ____________________________</w:t>
      </w:r>
    </w:p>
    <w:p>
      <w:pPr>
        <w:keepNext/>
        <w:spacing w:before="140" w:after="80"/>
      </w:pPr>
      <w:r>
        <w:rPr>
          <w:b/>
          <w:sz w:val="24"/>
        </w:rPr>
        <w:t>9. Жеке қолдау мақсаты қалай анықталады? Бірнеше жауапқа болады.</w:t>
      </w:r>
    </w:p>
    <w:p>
      <w:pPr>
        <w:keepLines/>
        <w:spacing w:after="140" w:line="276" w:lineRule="auto"/>
      </w:pPr>
      <w:r>
        <w:rPr>
          <w:sz w:val="24"/>
        </w:rPr>
        <w:t>( ) Бастапқы бағалау     ( ) Ата-анамен келісу</w:t>
        <w:br/>
        <w:t>( ) Маман тобының талдауы     ( ) Мектеппен бірлесу</w:t>
        <w:br/>
        <w:t>( ) Басқа: ____________________________________________</w:t>
      </w:r>
    </w:p>
    <w:p>
      <w:pPr>
        <w:keepNext/>
        <w:spacing w:before="140" w:after="80"/>
      </w:pPr>
      <w:r>
        <w:rPr>
          <w:b/>
          <w:sz w:val="24"/>
        </w:rPr>
        <w:t>10. Баланың мектептегі қатысуы мен дағдыларының өзгерісін қалай бақылайсыз? Ашық жауап.</w:t>
      </w:r>
    </w:p>
    <w:p>
      <w:pPr>
        <w:keepLines/>
        <w:spacing w:after="140" w:line="276" w:lineRule="auto"/>
      </w:pPr>
      <w:r>
        <w:rPr>
          <w:sz w:val="24"/>
        </w:rPr>
        <w:t>_____________________________________________________</w:t>
        <w:br/>
        <w:t>_____________________________________________________</w:t>
      </w:r>
    </w:p>
    <w:p>
      <w:pPr>
        <w:keepNext/>
        <w:spacing w:before="140" w:after="80"/>
      </w:pPr>
      <w:r>
        <w:rPr>
          <w:b/>
          <w:sz w:val="24"/>
        </w:rPr>
        <w:t>11. Мектеппен және отбасымен ақпарат алмасу қалай ұйымдастырылған? Бірнеше жауапқа болады.</w:t>
      </w:r>
    </w:p>
    <w:p>
      <w:pPr>
        <w:keepLines/>
        <w:spacing w:after="140" w:line="276" w:lineRule="auto"/>
      </w:pPr>
      <w:r>
        <w:rPr>
          <w:sz w:val="24"/>
        </w:rPr>
        <w:t>( ) Келісілген кездесу     ( ) Жазбаша ұсыныс</w:t>
        <w:br/>
        <w:t>( ) Маманға консультация     ( ) Отбасыға оқыту</w:t>
        <w:br/>
        <w:t>( ) Басқа: ____________________________________________</w:t>
        <w:br/>
        <w:t>Құпиялылықты сақтау тәсілі: ______________________________</w:t>
      </w:r>
    </w:p>
    <w:p>
      <w:pPr>
        <w:keepNext/>
        <w:spacing w:before="140" w:after="80"/>
      </w:pPr>
      <w:r>
        <w:rPr>
          <w:b/>
          <w:sz w:val="24"/>
        </w:rPr>
        <w:t>12. Қызметке қолжетімділікті жақсартатын ең маңызды үш өзгерісті атаңыз.</w:t>
      </w:r>
    </w:p>
    <w:p>
      <w:pPr>
        <w:keepLines/>
        <w:spacing w:after="140" w:line="276" w:lineRule="auto"/>
      </w:pPr>
      <w:r>
        <w:rPr>
          <w:sz w:val="24"/>
        </w:rPr>
        <w:t>1) ___________________________________________________</w:t>
        <w:br/>
        <w:t>2) ___________________________________________________</w:t>
        <w:br/>
        <w:t>3) ___________________________________________________</w:t>
      </w:r>
    </w:p>
    <w:p>
      <w:pPr>
        <w:pStyle w:val="21"/>
      </w:pPr>
      <w:r>
        <w:t>5.2 Жауаптарды тіркеу</w:t>
      </w:r>
    </w:p>
    <w:p>
      <w:pPr>
        <w:pStyle w:val="af"/>
        <w:spacing w:line="276" w:lineRule="auto" w:after="120"/>
        <w:ind w:firstLine="720"/>
        <w:jc w:val="both"/>
      </w:pPr>
      <w:r>
        <w:rPr>
          <w:lang w:val="kk-KZ"/>
        </w:rPr>
        <w:t>Жауап алынғаннан кейін әр сауалнамаға код беріледі. Ұйым атауы, деректің алынған күні және жауаптың сайттағы мәліметпен сәйкестігі тіркеледі. Түсініксіз жауап қосымша нақтылаусыз өз бетінше түсіндірілмейді. «Жауап жоқ» пен «қызмет жоқ» бір санатқа біріктірілмейді. Қатысуға келісім берілмеген бланк мазмұндық талдауға қосылмайды.</w:t>
      </w:r>
    </w:p>
    <w:p>
      <w:pPr>
        <w:pStyle w:val="1"/>
      </w:pPr>
      <w:r>
        <w:t>6 Жауаптарды өңдеу және зерттеу шектеуі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592"/>
        <w:gridCol w:w="3168"/>
        <w:gridCol w:w="3643"/>
      </w:tblGrid>
      <w:tr>
        <w:trPr>
          <w:tblHeader/>
          <w:cantSplit/>
        </w:trPr>
        <w:tc>
          <w:tcPr>
            <w:tcW w:type="dxa" w:w="2592"/>
            <w:vAlign w:val="center"/>
            <w:shd w:fill="EEEEEE"/>
          </w:tcPr>
          <w:p>
            <w:pPr>
              <w:spacing w:after="60" w:before="60" w:line="240" w:lineRule="auto"/>
            </w:pPr>
            <w:r>
              <w:rPr>
                <w:rFonts w:ascii="Times New Roman" w:hAnsi="Times New Roman"/>
                <w:b/>
                <w:sz w:val="22"/>
              </w:rPr>
              <w:t>Көрсеткіш</w:t>
            </w:r>
          </w:p>
        </w:tc>
        <w:tc>
          <w:tcPr>
            <w:tcW w:type="dxa" w:w="3168"/>
            <w:vAlign w:val="center"/>
            <w:shd w:fill="EEEEEE"/>
          </w:tcPr>
          <w:p>
            <w:pPr>
              <w:spacing w:after="60" w:before="60" w:line="240" w:lineRule="auto"/>
            </w:pPr>
            <w:r>
              <w:rPr>
                <w:rFonts w:ascii="Times New Roman" w:hAnsi="Times New Roman"/>
                <w:b/>
                <w:sz w:val="22"/>
              </w:rPr>
              <w:t>Тіркелетін дерек</w:t>
            </w:r>
          </w:p>
        </w:tc>
        <w:tc>
          <w:tcPr>
            <w:tcW w:type="dxa" w:w="3643"/>
            <w:vAlign w:val="center"/>
            <w:shd w:fill="EEEEEE"/>
          </w:tcPr>
          <w:p>
            <w:pPr>
              <w:spacing w:after="60" w:before="60" w:line="240" w:lineRule="auto"/>
            </w:pPr>
            <w:r>
              <w:rPr>
                <w:rFonts w:ascii="Times New Roman" w:hAnsi="Times New Roman"/>
                <w:b/>
                <w:sz w:val="22"/>
              </w:rPr>
              <w:t>Өңдеу тәсілі</w:t>
            </w:r>
          </w:p>
        </w:tc>
      </w:tr>
      <w:tr>
        <w:trPr>
          <w:cantSplit/>
        </w:trPr>
        <w:tc>
          <w:tcPr>
            <w:tcW w:type="dxa" w:w="2592"/>
            <w:vAlign w:val="center"/>
          </w:tcPr>
          <w:p>
            <w:pPr>
              <w:spacing w:after="60" w:before="60" w:line="240" w:lineRule="auto"/>
            </w:pPr>
            <w:r>
              <w:rPr>
                <w:rFonts w:ascii="Times New Roman" w:hAnsi="Times New Roman"/>
                <w:b w:val="0"/>
                <w:sz w:val="22"/>
              </w:rPr>
              <w:t>Ұйым нысаны</w:t>
            </w:r>
          </w:p>
        </w:tc>
        <w:tc>
          <w:tcPr>
            <w:tcW w:type="dxa" w:w="3168"/>
            <w:vAlign w:val="center"/>
          </w:tcPr>
          <w:p>
            <w:pPr>
              <w:spacing w:after="60" w:before="60" w:line="240" w:lineRule="auto"/>
            </w:pPr>
            <w:r>
              <w:rPr>
                <w:rFonts w:ascii="Times New Roman" w:hAnsi="Times New Roman"/>
                <w:b w:val="0"/>
                <w:sz w:val="22"/>
              </w:rPr>
              <w:t>3-сұрақтағы бір жауап</w:t>
            </w:r>
          </w:p>
        </w:tc>
        <w:tc>
          <w:tcPr>
            <w:tcW w:type="dxa" w:w="3643"/>
            <w:vAlign w:val="center"/>
          </w:tcPr>
          <w:p>
            <w:pPr>
              <w:spacing w:after="60" w:before="60" w:line="240" w:lineRule="auto"/>
            </w:pPr>
            <w:r>
              <w:rPr>
                <w:rFonts w:ascii="Times New Roman" w:hAnsi="Times New Roman"/>
                <w:b w:val="0"/>
                <w:sz w:val="22"/>
              </w:rPr>
              <w:t>Мемлекеттік ұйым қор және бірлестік санаттары</w:t>
            </w:r>
          </w:p>
        </w:tc>
      </w:tr>
      <w:tr>
        <w:trPr>
          <w:cantSplit/>
        </w:trPr>
        <w:tc>
          <w:tcPr>
            <w:tcW w:type="dxa" w:w="2592"/>
            <w:vAlign w:val="center"/>
          </w:tcPr>
          <w:p>
            <w:pPr>
              <w:spacing w:after="60" w:before="60" w:line="240" w:lineRule="auto"/>
            </w:pPr>
            <w:r>
              <w:rPr>
                <w:rFonts w:ascii="Times New Roman" w:hAnsi="Times New Roman"/>
                <w:b w:val="0"/>
                <w:sz w:val="22"/>
              </w:rPr>
              <w:t>Нысаналы топ</w:t>
            </w:r>
          </w:p>
        </w:tc>
        <w:tc>
          <w:tcPr>
            <w:tcW w:type="dxa" w:w="3168"/>
            <w:vAlign w:val="center"/>
          </w:tcPr>
          <w:p>
            <w:pPr>
              <w:spacing w:after="60" w:before="60" w:line="240" w:lineRule="auto"/>
            </w:pPr>
            <w:r>
              <w:rPr>
                <w:rFonts w:ascii="Times New Roman" w:hAnsi="Times New Roman"/>
                <w:b w:val="0"/>
                <w:sz w:val="22"/>
              </w:rPr>
              <w:t>4-сұрақтағы таңдалған топтар</w:t>
            </w:r>
          </w:p>
        </w:tc>
        <w:tc>
          <w:tcPr>
            <w:tcW w:type="dxa" w:w="3643"/>
            <w:vAlign w:val="center"/>
          </w:tcPr>
          <w:p>
            <w:pPr>
              <w:spacing w:after="60" w:before="60" w:line="240" w:lineRule="auto"/>
            </w:pPr>
            <w:r>
              <w:rPr>
                <w:rFonts w:ascii="Times New Roman" w:hAnsi="Times New Roman"/>
                <w:b w:val="0"/>
                <w:sz w:val="22"/>
              </w:rPr>
              <w:t>Әр топты бөлек белгілеу</w:t>
            </w:r>
          </w:p>
        </w:tc>
      </w:tr>
      <w:tr>
        <w:trPr>
          <w:cantSplit/>
        </w:trPr>
        <w:tc>
          <w:tcPr>
            <w:tcW w:type="dxa" w:w="2592"/>
            <w:vAlign w:val="center"/>
          </w:tcPr>
          <w:p>
            <w:pPr>
              <w:spacing w:after="60" w:before="60" w:line="240" w:lineRule="auto"/>
            </w:pPr>
            <w:r>
              <w:rPr>
                <w:rFonts w:ascii="Times New Roman" w:hAnsi="Times New Roman"/>
                <w:b w:val="0"/>
                <w:sz w:val="22"/>
              </w:rPr>
              <w:t>Қызмет бағыты</w:t>
            </w:r>
          </w:p>
        </w:tc>
        <w:tc>
          <w:tcPr>
            <w:tcW w:type="dxa" w:w="3168"/>
            <w:vAlign w:val="center"/>
          </w:tcPr>
          <w:p>
            <w:pPr>
              <w:spacing w:after="60" w:before="60" w:line="240" w:lineRule="auto"/>
            </w:pPr>
            <w:r>
              <w:rPr>
                <w:rFonts w:ascii="Times New Roman" w:hAnsi="Times New Roman"/>
                <w:b w:val="0"/>
                <w:sz w:val="22"/>
              </w:rPr>
              <w:t>5-сұрақтағы қызметтер</w:t>
            </w:r>
          </w:p>
        </w:tc>
        <w:tc>
          <w:tcPr>
            <w:tcW w:type="dxa" w:w="3643"/>
            <w:vAlign w:val="center"/>
          </w:tcPr>
          <w:p>
            <w:pPr>
              <w:spacing w:after="60" w:before="60" w:line="240" w:lineRule="auto"/>
            </w:pPr>
            <w:r>
              <w:rPr>
                <w:rFonts w:ascii="Times New Roman" w:hAnsi="Times New Roman"/>
                <w:b w:val="0"/>
                <w:sz w:val="22"/>
              </w:rPr>
              <w:t>Қызмет түрлері бойынша салыстыру</w:t>
            </w:r>
          </w:p>
        </w:tc>
      </w:tr>
      <w:tr>
        <w:trPr>
          <w:cantSplit/>
        </w:trPr>
        <w:tc>
          <w:tcPr>
            <w:tcW w:type="dxa" w:w="2592"/>
            <w:vAlign w:val="center"/>
          </w:tcPr>
          <w:p>
            <w:pPr>
              <w:spacing w:after="60" w:before="60" w:line="240" w:lineRule="auto"/>
            </w:pPr>
            <w:r>
              <w:rPr>
                <w:rFonts w:ascii="Times New Roman" w:hAnsi="Times New Roman"/>
                <w:b w:val="0"/>
                <w:sz w:val="22"/>
              </w:rPr>
              <w:t>Қабылдау мен қаржы</w:t>
            </w:r>
          </w:p>
        </w:tc>
        <w:tc>
          <w:tcPr>
            <w:tcW w:type="dxa" w:w="3168"/>
            <w:vAlign w:val="center"/>
          </w:tcPr>
          <w:p>
            <w:pPr>
              <w:spacing w:after="60" w:before="60" w:line="240" w:lineRule="auto"/>
            </w:pPr>
            <w:r>
              <w:rPr>
                <w:rFonts w:ascii="Times New Roman" w:hAnsi="Times New Roman"/>
                <w:b w:val="0"/>
                <w:sz w:val="22"/>
              </w:rPr>
              <w:t>6–7-сұрақтар</w:t>
            </w:r>
          </w:p>
        </w:tc>
        <w:tc>
          <w:tcPr>
            <w:tcW w:type="dxa" w:w="3643"/>
            <w:vAlign w:val="center"/>
          </w:tcPr>
          <w:p>
            <w:pPr>
              <w:spacing w:after="60" w:before="60" w:line="240" w:lineRule="auto"/>
            </w:pPr>
            <w:r>
              <w:rPr>
                <w:rFonts w:ascii="Times New Roman" w:hAnsi="Times New Roman"/>
                <w:b w:val="0"/>
                <w:sz w:val="22"/>
              </w:rPr>
              <w:t>Шартты ұйымға және бағдарламаға қатысты тіркеу</w:t>
            </w:r>
          </w:p>
        </w:tc>
      </w:tr>
      <w:tr>
        <w:trPr>
          <w:cantSplit/>
        </w:trPr>
        <w:tc>
          <w:tcPr>
            <w:tcW w:type="dxa" w:w="2592"/>
            <w:vAlign w:val="center"/>
          </w:tcPr>
          <w:p>
            <w:pPr>
              <w:spacing w:after="60" w:before="60" w:line="240" w:lineRule="auto"/>
            </w:pPr>
            <w:r>
              <w:rPr>
                <w:rFonts w:ascii="Times New Roman" w:hAnsi="Times New Roman"/>
                <w:b w:val="0"/>
                <w:sz w:val="22"/>
              </w:rPr>
              <w:t>Қолжетімділік</w:t>
            </w:r>
          </w:p>
        </w:tc>
        <w:tc>
          <w:tcPr>
            <w:tcW w:type="dxa" w:w="3168"/>
            <w:vAlign w:val="center"/>
          </w:tcPr>
          <w:p>
            <w:pPr>
              <w:spacing w:after="60" w:before="60" w:line="240" w:lineRule="auto"/>
            </w:pPr>
            <w:r>
              <w:rPr>
                <w:rFonts w:ascii="Times New Roman" w:hAnsi="Times New Roman"/>
                <w:b w:val="0"/>
                <w:sz w:val="22"/>
              </w:rPr>
              <w:t>8-сұрақтың төрт тармағы</w:t>
            </w:r>
          </w:p>
        </w:tc>
        <w:tc>
          <w:tcPr>
            <w:tcW w:type="dxa" w:w="3643"/>
            <w:vAlign w:val="center"/>
          </w:tcPr>
          <w:p>
            <w:pPr>
              <w:spacing w:after="60" w:before="60" w:line="240" w:lineRule="auto"/>
            </w:pPr>
            <w:r>
              <w:rPr>
                <w:rFonts w:ascii="Times New Roman" w:hAnsi="Times New Roman"/>
                <w:b w:val="0"/>
                <w:sz w:val="22"/>
              </w:rPr>
              <w:t>Бар жоқ және нақтылау қажет санаттары</w:t>
            </w:r>
          </w:p>
        </w:tc>
      </w:tr>
      <w:tr>
        <w:trPr>
          <w:cantSplit/>
        </w:trPr>
        <w:tc>
          <w:tcPr>
            <w:tcW w:type="dxa" w:w="2592"/>
            <w:vAlign w:val="center"/>
          </w:tcPr>
          <w:p>
            <w:pPr>
              <w:spacing w:after="60" w:before="60" w:line="240" w:lineRule="auto"/>
            </w:pPr>
            <w:r>
              <w:rPr>
                <w:rFonts w:ascii="Times New Roman" w:hAnsi="Times New Roman"/>
                <w:b w:val="0"/>
                <w:sz w:val="22"/>
              </w:rPr>
              <w:t>Жеке мақсат пен байланыс</w:t>
            </w:r>
          </w:p>
        </w:tc>
        <w:tc>
          <w:tcPr>
            <w:tcW w:type="dxa" w:w="3168"/>
            <w:vAlign w:val="center"/>
          </w:tcPr>
          <w:p>
            <w:pPr>
              <w:spacing w:after="60" w:before="60" w:line="240" w:lineRule="auto"/>
            </w:pPr>
            <w:r>
              <w:rPr>
                <w:rFonts w:ascii="Times New Roman" w:hAnsi="Times New Roman"/>
                <w:b w:val="0"/>
                <w:sz w:val="22"/>
              </w:rPr>
              <w:t>9–11-сұрақтар</w:t>
            </w:r>
          </w:p>
        </w:tc>
        <w:tc>
          <w:tcPr>
            <w:tcW w:type="dxa" w:w="3643"/>
            <w:vAlign w:val="center"/>
          </w:tcPr>
          <w:p>
            <w:pPr>
              <w:spacing w:after="60" w:before="60" w:line="240" w:lineRule="auto"/>
            </w:pPr>
            <w:r>
              <w:rPr>
                <w:rFonts w:ascii="Times New Roman" w:hAnsi="Times New Roman"/>
                <w:b w:val="0"/>
                <w:sz w:val="22"/>
              </w:rPr>
              <w:t>Рәсім мен нақты мысалды тақырып бойынша топтау</w:t>
            </w:r>
          </w:p>
        </w:tc>
      </w:tr>
      <w:tr>
        <w:trPr>
          <w:cantSplit/>
        </w:trPr>
        <w:tc>
          <w:tcPr>
            <w:tcW w:type="dxa" w:w="2592"/>
            <w:vAlign w:val="center"/>
          </w:tcPr>
          <w:p>
            <w:pPr>
              <w:spacing w:after="60" w:before="60" w:line="240" w:lineRule="auto"/>
            </w:pPr>
            <w:r>
              <w:rPr>
                <w:rFonts w:ascii="Times New Roman" w:hAnsi="Times New Roman"/>
                <w:b w:val="0"/>
                <w:sz w:val="22"/>
              </w:rPr>
              <w:t>Ұсыныстар</w:t>
            </w:r>
          </w:p>
        </w:tc>
        <w:tc>
          <w:tcPr>
            <w:tcW w:type="dxa" w:w="3168"/>
            <w:vAlign w:val="center"/>
          </w:tcPr>
          <w:p>
            <w:pPr>
              <w:spacing w:after="60" w:before="60" w:line="240" w:lineRule="auto"/>
            </w:pPr>
            <w:r>
              <w:rPr>
                <w:rFonts w:ascii="Times New Roman" w:hAnsi="Times New Roman"/>
                <w:b w:val="0"/>
                <w:sz w:val="22"/>
              </w:rPr>
              <w:t>12-сұрақтың ашық жауабы</w:t>
            </w:r>
          </w:p>
        </w:tc>
        <w:tc>
          <w:tcPr>
            <w:tcW w:type="dxa" w:w="3643"/>
            <w:vAlign w:val="center"/>
          </w:tcPr>
          <w:p>
            <w:pPr>
              <w:spacing w:after="60" w:before="60" w:line="240" w:lineRule="auto"/>
            </w:pPr>
            <w:r>
              <w:rPr>
                <w:rFonts w:ascii="Times New Roman" w:hAnsi="Times New Roman"/>
                <w:b w:val="0"/>
                <w:sz w:val="22"/>
              </w:rPr>
              <w:t>Ұқсас ұсыныстарды біріктіріп мағынасын сақтау</w:t>
            </w:r>
          </w:p>
        </w:tc>
      </w:tr>
    </w:tbl>
    <w:p>
      <w:pPr>
        <w:pStyle w:val="af"/>
        <w:spacing w:line="276" w:lineRule="auto" w:after="120"/>
        <w:ind w:firstLine="720"/>
        <w:jc w:val="both"/>
      </w:pPr>
      <w:r>
        <w:rPr>
          <w:lang w:val="kk-KZ"/>
        </w:rPr>
        <w:t>Нақты жауаптар жиналса, алдымен қатысқан ұйым саны және әр сұраққа жауап бергендер саны көрсетіледі. Бірнеше жауапты сұрақта бір ұйым бірнеше санатқа енуі мүмкін, сондықтан жиынтық пайыз жүзден асуы ықтимал. Шағын мақсатты іріктеуде сандық қорытындыны Қазақстандағы барлық ұйымға таратуға болмайды. Қызмет нәтижесін бағалау үшін ұйымның өз сипаттамасынан бөлек пайдаланушы тәжірибесі мен құжаттық дәлел қажет.</w:t>
      </w:r>
    </w:p>
    <w:p>
      <w:pPr>
        <w:pStyle w:val="af"/>
        <w:spacing w:line="276" w:lineRule="auto" w:after="120"/>
        <w:ind w:firstLine="720"/>
        <w:jc w:val="both"/>
      </w:pPr>
      <w:r>
        <w:rPr>
          <w:lang w:val="kk-KZ"/>
        </w:rPr>
        <w:t>Осы жұмыстағы аяқталған нәтиже — алты ұйымның ресми дерегіне сүйенген салыстырмалы зерттеу және сауалнама құралы. Кезек, нақты қолжетімділік пен пайдаланушының қанағаттануы туралы далалық дерек әлі жиналған жоқ. Сондықтан бұл көрсеткіштер бойынша нәтиже ойдан шығарылмайды. Сауалнаманың негізгі құндылығы — анықталған ақпарат олқылықтарын бірдей сұрақпен, тексеруге болатын түрде нақтылауға мүмкіндік беруі.</w:t>
      </w:r>
    </w:p>
    <w:p>
      <w:pPr>
        <w:pStyle w:val="1"/>
      </w:pPr>
      <w:r>
        <w:t>Қорытынды</w:t>
      </w:r>
    </w:p>
    <w:p>
      <w:pPr>
        <w:pStyle w:val="af"/>
        <w:keepLines/>
        <w:spacing w:line="276" w:lineRule="auto" w:after="120"/>
        <w:ind w:firstLine="720"/>
        <w:jc w:val="both"/>
      </w:pPr>
      <w:r>
        <w:rPr>
          <w:lang w:val="kk-KZ"/>
        </w:rPr>
        <w:t>Қазақстанда ерекше білім беру қажеттіліктері бар адамдарды қолдау мемлекеттік ұйымдар, қайырымдылық қорлары және қоғамдық бірлестіктердің әртүрлі қызметі арқылы жүзеге асады. Зерттелген алты ұйым әдістемелік қолдау, баламен жұмыс, мектепке қосылу, отбасыға көмек және әлеуметтік қатысу бағыттарында бірін-бірі толықтырады. Қордың бағдарламасы мен оны орындайтын мекеменің қызметін ажырату деректі дұрыс түсіндіру үшін маңызды.</w:t>
      </w:r>
    </w:p>
    <w:p>
      <w:pPr>
        <w:pStyle w:val="af"/>
        <w:spacing w:line="276" w:lineRule="auto" w:after="120"/>
        <w:ind w:firstLine="720"/>
        <w:jc w:val="both"/>
      </w:pPr>
      <w:r>
        <w:rPr>
          <w:lang w:val="kk-KZ"/>
        </w:rPr>
        <w:t>Ұйымды таңдауда оның атауына ғана сүйенбей, адамның қажеттілігі, нақты қызмет, қабылдау шарты және мектеппен байланысы салыстырылуы тиіс. Ресми сайттар бастапқы бағыт береді, ал дайын сауалнама жарияланбаған сұрақтарды нақтылауға арналған. Сенімді зерттеу расталған деректі, респонденттің шынайы жауабын және автордың ұсынысын айқын ажыратқанда ғана пайдалы болады.</w:t>
      </w:r>
    </w:p>
    <w:p>
      <w:pPr>
        <w:pStyle w:val="1"/>
      </w:pPr>
      <w:r>
        <w:t>Пайдаланылған дереккөздер</w:t>
      </w:r>
    </w:p>
    <w:p>
      <w:pPr>
        <w:spacing w:after="120"/>
        <w:jc w:val="left"/>
      </w:pPr>
      <w:r>
        <w:rPr>
          <w:sz w:val="22"/>
        </w:rPr>
        <w:t>1. Арнайы және инклюзивті білім беруді дамытудың ұлттық ғылыми-практикалық орталығы. Ресми сайт және диагностикалық-консультациялық бөлімге қабылдау тәртібі. URL: https://special-edu.kz/ ; https://special-edu.kz/news/13/single/61</w:t>
      </w:r>
    </w:p>
    <w:p>
      <w:pPr>
        <w:spacing w:after="120"/>
        <w:jc w:val="left"/>
      </w:pPr>
      <w:r>
        <w:rPr>
          <w:sz w:val="22"/>
        </w:rPr>
        <w:t>2. Астана қаласы әкімдігінің «Асыл Мирас» № 1 орталығы. «Біз туралы» бөлімі. URL: https://asylmirasast.edu.kz/ru/o-nas</w:t>
      </w:r>
    </w:p>
    <w:p>
      <w:pPr>
        <w:spacing w:after="120"/>
        <w:jc w:val="left"/>
      </w:pPr>
      <w:r>
        <w:rPr>
          <w:sz w:val="22"/>
        </w:rPr>
        <w:t>3. «Дара» қайырымдылық қоры. «Біз кімбіз» және инклюзия бағыттары. URL: https://dara.kz/kz/about/who-we-are/</w:t>
      </w:r>
    </w:p>
    <w:p>
      <w:pPr>
        <w:spacing w:after="120"/>
        <w:jc w:val="left"/>
      </w:pPr>
      <w:r>
        <w:rPr>
          <w:sz w:val="22"/>
        </w:rPr>
        <w:t>4. «Болашақ» қоғамдық қоры. Ресми сайт және «Әр бала мектепке лайықты» жобасы. URL: https://bolashakcharity.kz/ ; https://bolashakcharity.kz/projects/kazhdyj-rebenok-dostoin-shkoly/</w:t>
      </w:r>
    </w:p>
    <w:p>
      <w:pPr>
        <w:spacing w:after="120"/>
        <w:jc w:val="left"/>
      </w:pPr>
      <w:r>
        <w:rPr>
          <w:sz w:val="22"/>
        </w:rPr>
        <w:t>5. Болат Өтемұратов қоры. «Аутизм. Баршамызға бір әлем» бағдарламасы. URL: https://utemuratovfund.org/ru/projects/autizm-mir-odin-dlya-vsekh</w:t>
      </w:r>
    </w:p>
    <w:p>
      <w:pPr>
        <w:spacing w:after="120"/>
        <w:jc w:val="left"/>
      </w:pPr>
      <w:r>
        <w:rPr>
          <w:sz w:val="22"/>
        </w:rPr>
        <w:t>6. «АРДИ» ата-аналар қауымдастығы. Ресми сайт, орталықтар және байланыс бөлімдері. URL: https://ardi.kz/ ; https://ardi.kz/kontakty</w:t>
      </w:r>
    </w:p>
    <w:p>
      <w:pPr>
        <w:spacing w:after="120"/>
        <w:jc w:val="left"/>
      </w:pPr>
      <w:r>
        <w:rPr>
          <w:sz w:val="22"/>
        </w:rPr>
        <w:t>7. ҚР мемлекеттік сатып алу порталы. «АРДИ» қоғамдық бірлестігінің тізілім жазбасы. Ұйымдық нысанын тексеруге пайдаланылды. URL: https://satypalu.gov.kz/kz/registry/show_supplier/54964</w:t>
      </w:r>
    </w:p>
    <w:p>
      <w:pPr>
        <w:spacing w:after="120"/>
        <w:jc w:val="left"/>
      </w:pPr>
      <w:r>
        <w:rPr>
          <w:sz w:val="22"/>
        </w:rPr>
        <w:t>Дереккөздер тексерілген күн: 28.10.2026. Қабылдау талаптары мен нақты қызметтің қолжетімділігі ұйымнан тікелей нақтыланады. Сауалнама — автор әзірлеген оқу-зерттеу құралы.</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Ерекше білім беру қажеттіліктері бар адамдарды қолдайтын Қазақстан ұйымдары</dc:title>
  <dc:subject>Инклюзивті білім беру ортасы — БОӨЖ4</dc:subject>
  <dc:creator>Биарстанов Д.А.</dc:creator>
  <cp:keywords/>
  <dc:description/>
  <cp:lastModifiedBy>Биарстанов Д.А.</cp:lastModifiedBy>
  <cp:revision>3</cp:revision>
  <dcterms:created xsi:type="dcterms:W3CDTF">2026-10-02T15:54:00Z</dcterms:created>
  <dcterms:modified xsi:type="dcterms:W3CDTF">2026-10-02T16:26:00Z</dcterms:modified>
  <cp:category/>
</cp:coreProperties>
</file>