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БӨЖ9</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Қиын өмірлік жағдайға тап болған оқушылардың психологиялық-педагогикалық ерекшеліктері</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Қиын өмірлік жағдайдың педагогикалық мәні</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Психологиялық ерекшеліктер</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Оқу мен қарым-қатынастағы ерекшеліктер</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Жас ерекшелігі мен күшті жақтары</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5 Ерекшеліктерді бағалау және қолдау</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6 Қысқаша педагогикалық жағдайды талдау</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7</w:t>
          </w:r>
        </w:p>
      </w:sdtContent>
    </w:sdt>
    <w:p>
      <w:pPr>
        <w:pStyle w:val="1"/>
        <w:pageBreakBefore/>
      </w:pPr>
      <w:r>
        <w:t>Кіріспе</w:t>
      </w:r>
    </w:p>
    <w:p>
      <w:pPr>
        <w:pStyle w:val="af"/>
        <w:spacing w:line="276" w:lineRule="auto" w:after="120"/>
        <w:ind w:firstLine="720"/>
        <w:jc w:val="both"/>
      </w:pPr>
      <w:r>
        <w:rPr>
          <w:lang w:val="kk-KZ"/>
        </w:rPr>
        <w:t>Тапсырма: «Қиын өмірлік жағдайға тап болған оқушылардың психологиялық-педагогикалық ерекшеліктері (таңдау бойынша)». Таңдалған жағдай — отбасының мәжбүрлі қоныс аударуына байланысты жаңа мектепке бейімделіп жатқан оқушы. Жұмыста осы жағдайдың эмоцияға, танымдық әрекетке, тілдік қатынасқа және сыныптағы өзара байланысқа ықпалы талданады.</w:t>
      </w:r>
    </w:p>
    <w:p>
      <w:pPr>
        <w:pStyle w:val="af"/>
        <w:spacing w:line="276" w:lineRule="auto" w:after="120"/>
        <w:ind w:firstLine="720"/>
        <w:jc w:val="both"/>
      </w:pPr>
      <w:r>
        <w:rPr>
          <w:lang w:val="kk-KZ"/>
        </w:rPr>
        <w:t>Мақсат — оқушының байқалатын қиындықтарын оның қабілетінің тұрақты кемшілігі деп қабылдамай, қажетті педагогикалық жағдайды анықтау. Мәжбүрлі қоныс аударған барлық бала бірдей күй кешпейді. Отбасының қолдауы, бұрынғы оқу тәжірибесі, тіл білуі және жаңа ортадағы қауіпсіздік оның бейімделуіне әртүрлі әсер етеді. Сондықтан төмендегі сипаттамалар диагноз немесе әр балаға міндетті белгі емес, жеке бақылауда тексерілетін ықтимал ерекшеліктер ретінде берілген.</w:t>
      </w:r>
    </w:p>
    <w:p>
      <w:pPr>
        <w:pStyle w:val="1"/>
      </w:pPr>
      <w:r>
        <w:t>1 Қиын өмірлік жағдайдың педагогикалық мәні</w:t>
      </w:r>
    </w:p>
    <w:p>
      <w:pPr>
        <w:pStyle w:val="af"/>
        <w:spacing w:line="276" w:lineRule="auto" w:after="120"/>
        <w:ind w:firstLine="720"/>
        <w:jc w:val="both"/>
      </w:pPr>
      <w:r>
        <w:rPr>
          <w:lang w:val="kk-KZ"/>
        </w:rPr>
        <w:t>Қиын өмірлік жағдай оқушының қалыпты оқуына және күнделікті қатысуына кедергі келтіретін өзара байланысты жағдайлар арқылы көрінуі мүмкін. Мәжбүрлі көшу кезінде үйреншікті орта, достар, оқу тәртібі және отбасының тұрмыс жағдайы өзгеруі ықтимал. Мәселе тек мектеп ауыстыруда емес: бала жаңа ережені, тілдік ортаны және өзіне қойылатын талапты қатар түсінуге мәжбүр болады. Мұғалім оның әрекетін осы контексті ескеріп бағалауы қажет.</w:t>
      </w:r>
    </w:p>
    <w:p>
      <w:pPr>
        <w:pStyle w:val="af"/>
        <w:spacing w:line="276" w:lineRule="auto" w:after="120"/>
        <w:ind w:firstLine="720"/>
        <w:jc w:val="both"/>
      </w:pPr>
      <w:r>
        <w:rPr>
          <w:lang w:val="kk-KZ"/>
        </w:rPr>
        <w:t>UNICEF-тің Қазақстанға арналған нұсқаулығы көші-қон процесіндегі балалардың қажеттіліктерін білім беру, әлеуметтік, психологиялық және отбасылық жағдайлармен бірге қарастыруға негіз береді [1]. Бұл жұмыста барлық мигрант пен босқынның құқықтық мәртебесі бірдей деген тұжырым жасалмайды. Талдау мәртебені анықтауға емес, нақты оқушының мектептегі оқуына кедергі келтіретін факторларды түсінуге бағытталған.</w:t>
      </w:r>
    </w:p>
    <w:p>
      <w:pPr>
        <w:pStyle w:val="af"/>
        <w:spacing w:line="276" w:lineRule="auto" w:after="120"/>
        <w:ind w:firstLine="720"/>
        <w:jc w:val="both"/>
      </w:pPr>
      <w:r>
        <w:rPr>
          <w:lang w:val="kk-KZ"/>
        </w:rPr>
        <w:t>Ерекше білім беру қажеттілігі уақытша да болуы мүмкін. ҚР Оқу-ағарту министрінің № 92 бұйрығының 2026 жылғы № 144-НҚ өзгерісі ескерілген редакциясында арнаулы жағдайға тұрақты немесе уақытша қажеттілік және қажеттілікті бағалауға негізделген қолдау түсіндірілген [3]. Демек, жаңа ортаға келген оқушыға тілдік немесе ұйымдастырушылық көмек қажет болуы оның міндетті түрде мүгедектігі бар екенін білдірмейді. Қажеттілік нақты оқу әрекетін талдау арқылы айқындалады.</w:t>
      </w:r>
    </w:p>
    <w:p>
      <w:pPr>
        <w:pStyle w:val="1"/>
      </w:pPr>
      <w:r>
        <w:t>2 Психологиялық ерекшеліктер</w:t>
      </w:r>
    </w:p>
    <w:p>
      <w:pPr>
        <w:pStyle w:val="21"/>
      </w:pPr>
      <w:r>
        <w:t>2.1 Эмоциялық қауіпсіздік пен сенім</w:t>
      </w:r>
    </w:p>
    <w:p>
      <w:pPr>
        <w:pStyle w:val="af"/>
        <w:spacing w:line="276" w:lineRule="auto" w:after="120"/>
        <w:ind w:firstLine="720"/>
        <w:jc w:val="both"/>
      </w:pPr>
      <w:r>
        <w:rPr>
          <w:lang w:val="kk-KZ"/>
        </w:rPr>
        <w:t>Жаңа ортадағы белгісіздік кейбір оқушыда мазасыздық, тұйықталу, ашуланғыштық немесе қателесуден қорқу түрінде байқалуы мүмкін. Кейде бала ересекке жиі жүгінеді, ал кейде байланыстан қашқақтайды. Бірдей сыртқы мінез-құлықтың себебі әртүрлі болуы ықтимал: тапсырманы түсінбеу, шаршау, құрдастарынан қысылу немесе күн тәртібінің өзгеруі. Сондықтан мұғалім бір көрініске сүйеніп қорытынды шығармай, оның қашан және қандай жағдайда қайталанатынын бақылайды.</w:t>
      </w:r>
    </w:p>
    <w:p>
      <w:pPr>
        <w:pStyle w:val="af"/>
        <w:spacing w:line="276" w:lineRule="auto" w:after="120"/>
        <w:ind w:firstLine="720"/>
        <w:jc w:val="both"/>
      </w:pPr>
      <w:r>
        <w:rPr>
          <w:lang w:val="kk-KZ"/>
        </w:rPr>
        <w:t>UNHCR мұғалімдерге арналған материалында күйзеліс оқуға және қарым-қатынасқа әсер етуі мүмкін екенін, ал педагогтің рөлі қауіпсіз оқу ортасын ұйымдастыру және қажет кезде білікті маманға бағыттау екенін көрсетеді [2]. Мұғалім баладан қиын оқиғасын бүкіл сынып алдында айтуды талап етпеуі керек. Қолдау үшін баланың барлық жеке тәжірибесін білу міндетті емес; бүгінгі оқуына не көмектесетінін анықтау маңызды.</w:t>
      </w:r>
    </w:p>
    <w:p>
      <w:pPr>
        <w:pStyle w:val="af"/>
        <w:spacing w:line="276" w:lineRule="auto" w:after="120"/>
        <w:ind w:firstLine="720"/>
        <w:jc w:val="both"/>
      </w:pPr>
      <w:r>
        <w:rPr>
          <w:lang w:val="kk-KZ"/>
        </w:rPr>
        <w:t>Сенім шағын, тұрақты әрекет арқылы қалыптасады. Мысалы, сабақ басында жұмыс реті түсіндірілсе, күтпеген өзгеріс алдын ала ескертілсе және қате жауап үшін келемеж болмаса, оқушы ортадағы талапты болжай алады. Мұндай тәсіл сыныптағы барлық балаға пайдалы. Қолдауды жария ерекшелеу орнына жалпы ережеге айналдыру жаңа оқушының өзін өзгелерден бөлек сезінуін азайтуға көмектеседі.</w:t>
      </w:r>
    </w:p>
    <w:p>
      <w:pPr>
        <w:pStyle w:val="21"/>
      </w:pPr>
      <w:r>
        <w:t>2.2 Зейін мен өзін реттеу</w:t>
      </w:r>
    </w:p>
    <w:p>
      <w:pPr>
        <w:pStyle w:val="af"/>
        <w:spacing w:line="276" w:lineRule="auto" w:after="120"/>
        <w:ind w:firstLine="720"/>
        <w:jc w:val="both"/>
      </w:pPr>
      <w:r>
        <w:rPr>
          <w:lang w:val="kk-KZ"/>
        </w:rPr>
        <w:t>Оқушы тапсырманы бастауды кейінге қалдыруы, нұсқаудың бөлігін ұмытуы немесе бір әрекеттен екіншісіне ауысуда қиналуы мүмкін. Бұл көріністерді бірден жалқаулық не қабілетсіздік деп бағалау дұрыс емес. Алдымен нұсқаудың ұзындығы, тілдік күрделілігі, ортадағы шу және демалыс мүмкіндігі қарастырылады. Бақылаудың мақсаты — баланы белгілеу емес, әрекетті орындауға кедергі келтіретін жағдайды нақтылау.</w:t>
      </w:r>
    </w:p>
    <w:p>
      <w:pPr>
        <w:pStyle w:val="af"/>
        <w:spacing w:line="276" w:lineRule="auto" w:after="120"/>
        <w:ind w:firstLine="720"/>
        <w:jc w:val="both"/>
      </w:pPr>
      <w:r>
        <w:rPr>
          <w:lang w:val="kk-KZ"/>
        </w:rPr>
        <w:t>Өзін реттеу дағдысын қолдау үшін мұғалім тапсырманы қысқа кезеңдерге бөліп, бірінші қадамды бірге орындай алады. Оқушыға түсінбегенін қалай білдіретіні және кімнен көмек сұрайтыны алдын ала көрсетіледі. Мысалы, ол «Нұсқауды қайта түсіндіріңіз» деген дайын сөйлемді қолдана алады. Мұндай құрал баланың дербестігін алмастырмайды, керісінше көмекке саналы түрде жүгінуіне жағдай жасайды.</w:t>
      </w:r>
    </w:p>
    <w:p>
      <w:pPr>
        <w:pStyle w:val="1"/>
      </w:pPr>
      <w:r>
        <w:t>3 Оқу мен қарым-қатынастағы ерекшеліктер</w:t>
      </w:r>
    </w:p>
    <w:p>
      <w:pPr>
        <w:pStyle w:val="21"/>
      </w:pPr>
      <w:r>
        <w:t>3.1 Тілдік кедергі мен оқу тәжірибесі</w:t>
      </w:r>
    </w:p>
    <w:p>
      <w:pPr>
        <w:pStyle w:val="af"/>
        <w:spacing w:line="276" w:lineRule="auto" w:after="120"/>
        <w:ind w:firstLine="720"/>
        <w:jc w:val="both"/>
      </w:pPr>
      <w:r>
        <w:rPr>
          <w:lang w:val="kk-KZ"/>
        </w:rPr>
        <w:t>Оқыту тілін жеткілікті меңгермеу пәндік білімнің жоқтығымен бірдей емес. Оқушы есептің шешу жолын түсініп, оны жаңа тілде түсіндіре алмауы мүмкін. Күнделікті сөйлесуге қатысуы оның күрделі оқу нұсқауын толық түсінетінін де дәлелдемейді. Сондықтан пәндік мазмұн мен тілдік жауаптың сапасы бөлек қарастырылады. Түсінуді тек «Түсіндің бе?» деген сұрақпен емес, тапсырманың алғашқы қадамын орындату арқылы тексеруге болады.</w:t>
      </w:r>
    </w:p>
    <w:p>
      <w:pPr>
        <w:pStyle w:val="af"/>
        <w:spacing w:line="276" w:lineRule="auto" w:after="120"/>
        <w:ind w:firstLine="720"/>
        <w:jc w:val="both"/>
      </w:pPr>
      <w:r>
        <w:rPr>
          <w:lang w:val="kk-KZ"/>
        </w:rPr>
        <w:t>Бұрынғы және жаңа мектептің бағдарламасы, терминдері, дәптер жүргізу тәртібі мен бағалау тәсілі сәйкес келмеуі ықтимал. Кей тақырып оқылмаған болуы мүмкін, ал басқа тақырыпты бала жақсы білуі мүмкін. Осы себептен бастапқы бағалау бүкіл сыныппен жарыстыруға емес, бұрын меңгерген білімді анықтауға бағытталады. Қате жауаптың себебі мазмұн, тіл немесе нұсқау екенін ажырату келесі оқыту қадамын таңдауға көмектеседі.</w:t>
      </w:r>
    </w:p>
    <w:p>
      <w:pPr>
        <w:pStyle w:val="21"/>
      </w:pPr>
      <w:r>
        <w:t>3.2 Құрдастармен байланыс және қатысу</w:t>
      </w:r>
    </w:p>
    <w:p>
      <w:pPr>
        <w:pStyle w:val="af"/>
        <w:spacing w:line="276" w:lineRule="auto" w:after="120"/>
        <w:ind w:firstLine="720"/>
        <w:jc w:val="both"/>
      </w:pPr>
      <w:r>
        <w:rPr>
          <w:lang w:val="kk-KZ"/>
        </w:rPr>
        <w:t>Жаңа оқушы топқа қосылу ережесін білмеуі, өзі туралы айтудан қысылуы немесе үзілісте жалғыз қалуы мүмкін. Оның үнсіздігін қарым-қатынасқа қызықпайды деп түсіндіру асығыс болады. Жұптағы рөл айқын берілгенде және тапсырма ортақ нәтижені талап еткенде, қатысу жеңілдеуі ықтимал. Құрдасының көмегі баланың орнына орындау емес, ортадағы әрекетті түсіндіру түрінде ұйымдастырылады.</w:t>
      </w:r>
    </w:p>
    <w:p>
      <w:pPr>
        <w:pStyle w:val="af"/>
        <w:spacing w:line="276" w:lineRule="auto" w:after="120"/>
        <w:ind w:firstLine="720"/>
        <w:jc w:val="both"/>
      </w:pPr>
      <w:r>
        <w:rPr>
          <w:lang w:val="kk-KZ"/>
        </w:rPr>
        <w:t>Кемсіту мен келемежге жол бермеу — инклюзивті ортаның негізгі шарты. Аты-жөнін дұрыс айту, сөйлеу ерекшелігін мазақ етпеу және әр баланың пікірін тыңдау сыныптың ортақ ережесі болуы тиіс. Оқушыны шыққан жері туралы барлық сұраққа жауап беретін өкілге айналдыруға болмайды. Ол өз тәжірибесімен бөлісу-бөліспеуді өзі таңдайды; тұлғалық қадір-қасиет оқу тапсырмасының мазмұнынан жоғары тұрады.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512"/>
        <w:gridCol w:w="3888"/>
        <w:gridCol w:w="4003"/>
      </w:tblGrid>
      <w:tr>
        <w:trPr>
          <w:tblHeader/>
          <w:cantSplit/>
        </w:trPr>
        <w:tc>
          <w:tcPr>
            <w:tcW w:type="dxa" w:w="1512"/>
            <w:vAlign w:val="center"/>
            <w:shd w:fill="EEEEEE"/>
          </w:tcPr>
          <w:p>
            <w:pPr>
              <w:spacing w:after="60" w:before="60" w:line="240" w:lineRule="auto"/>
            </w:pPr>
            <w:r>
              <w:rPr>
                <w:rFonts w:ascii="Times New Roman" w:hAnsi="Times New Roman"/>
                <w:b/>
                <w:sz w:val="22"/>
              </w:rPr>
              <w:t>Сала</w:t>
            </w:r>
          </w:p>
        </w:tc>
        <w:tc>
          <w:tcPr>
            <w:tcW w:type="dxa" w:w="3888"/>
            <w:vAlign w:val="center"/>
            <w:shd w:fill="EEEEEE"/>
          </w:tcPr>
          <w:p>
            <w:pPr>
              <w:spacing w:after="60" w:before="60" w:line="240" w:lineRule="auto"/>
            </w:pPr>
            <w:r>
              <w:rPr>
                <w:rFonts w:ascii="Times New Roman" w:hAnsi="Times New Roman"/>
                <w:b/>
                <w:sz w:val="22"/>
              </w:rPr>
              <w:t>Байқалуы мүмкін ерекшелік</w:t>
            </w:r>
          </w:p>
        </w:tc>
        <w:tc>
          <w:tcPr>
            <w:tcW w:type="dxa" w:w="4003"/>
            <w:vAlign w:val="center"/>
            <w:shd w:fill="EEEEEE"/>
          </w:tcPr>
          <w:p>
            <w:pPr>
              <w:spacing w:after="60" w:before="60" w:line="240" w:lineRule="auto"/>
            </w:pPr>
            <w:r>
              <w:rPr>
                <w:rFonts w:ascii="Times New Roman" w:hAnsi="Times New Roman"/>
                <w:b/>
                <w:sz w:val="22"/>
              </w:rPr>
              <w:t>Педагогикалық жауап</w:t>
            </w:r>
          </w:p>
        </w:tc>
      </w:tr>
      <w:tr>
        <w:trPr>
          <w:cantSplit/>
        </w:trPr>
        <w:tc>
          <w:tcPr>
            <w:tcW w:type="dxa" w:w="1512"/>
            <w:vAlign w:val="center"/>
          </w:tcPr>
          <w:p>
            <w:pPr>
              <w:spacing w:after="60" w:before="60" w:line="240" w:lineRule="auto"/>
            </w:pPr>
            <w:r>
              <w:rPr>
                <w:rFonts w:ascii="Times New Roman" w:hAnsi="Times New Roman"/>
                <w:b w:val="0"/>
                <w:sz w:val="22"/>
              </w:rPr>
              <w:t>Эмоциялық күй</w:t>
            </w:r>
          </w:p>
        </w:tc>
        <w:tc>
          <w:tcPr>
            <w:tcW w:type="dxa" w:w="3888"/>
            <w:vAlign w:val="center"/>
          </w:tcPr>
          <w:p>
            <w:pPr>
              <w:spacing w:after="60" w:before="60" w:line="240" w:lineRule="auto"/>
            </w:pPr>
            <w:r>
              <w:rPr>
                <w:rFonts w:ascii="Times New Roman" w:hAnsi="Times New Roman"/>
                <w:b w:val="0"/>
                <w:sz w:val="22"/>
              </w:rPr>
              <w:t>Қателесуден қорқу не шамадан тыс сақтық</w:t>
            </w:r>
          </w:p>
        </w:tc>
        <w:tc>
          <w:tcPr>
            <w:tcW w:type="dxa" w:w="4003"/>
            <w:vAlign w:val="center"/>
          </w:tcPr>
          <w:p>
            <w:pPr>
              <w:spacing w:after="60" w:before="60" w:line="240" w:lineRule="auto"/>
            </w:pPr>
            <w:r>
              <w:rPr>
                <w:rFonts w:ascii="Times New Roman" w:hAnsi="Times New Roman"/>
                <w:b w:val="0"/>
                <w:sz w:val="22"/>
              </w:rPr>
              <w:t>Болжамды тәртіп және сабырлы кері байланыс</w:t>
            </w:r>
          </w:p>
        </w:tc>
      </w:tr>
      <w:tr>
        <w:trPr>
          <w:cantSplit/>
        </w:trPr>
        <w:tc>
          <w:tcPr>
            <w:tcW w:type="dxa" w:w="1512"/>
            <w:vAlign w:val="center"/>
          </w:tcPr>
          <w:p>
            <w:pPr>
              <w:spacing w:after="60" w:before="60" w:line="240" w:lineRule="auto"/>
            </w:pPr>
            <w:r>
              <w:rPr>
                <w:rFonts w:ascii="Times New Roman" w:hAnsi="Times New Roman"/>
                <w:b w:val="0"/>
                <w:sz w:val="22"/>
              </w:rPr>
              <w:t>Зейін</w:t>
            </w:r>
          </w:p>
        </w:tc>
        <w:tc>
          <w:tcPr>
            <w:tcW w:type="dxa" w:w="3888"/>
            <w:vAlign w:val="center"/>
          </w:tcPr>
          <w:p>
            <w:pPr>
              <w:spacing w:after="60" w:before="60" w:line="240" w:lineRule="auto"/>
            </w:pPr>
            <w:r>
              <w:rPr>
                <w:rFonts w:ascii="Times New Roman" w:hAnsi="Times New Roman"/>
                <w:b w:val="0"/>
                <w:sz w:val="22"/>
              </w:rPr>
              <w:t>Ұзақ нұсқаудың бөлігін өткізіп алу</w:t>
            </w:r>
          </w:p>
        </w:tc>
        <w:tc>
          <w:tcPr>
            <w:tcW w:type="dxa" w:w="4003"/>
            <w:vAlign w:val="center"/>
          </w:tcPr>
          <w:p>
            <w:pPr>
              <w:spacing w:after="60" w:before="60" w:line="240" w:lineRule="auto"/>
            </w:pPr>
            <w:r>
              <w:rPr>
                <w:rFonts w:ascii="Times New Roman" w:hAnsi="Times New Roman"/>
                <w:b w:val="0"/>
                <w:sz w:val="22"/>
              </w:rPr>
              <w:t>Қысқа қадам мен түсінуді әрекет арқылы тексеру</w:t>
            </w:r>
          </w:p>
        </w:tc>
      </w:tr>
      <w:tr>
        <w:trPr>
          <w:cantSplit/>
        </w:trPr>
        <w:tc>
          <w:tcPr>
            <w:tcW w:type="dxa" w:w="1512"/>
            <w:vAlign w:val="center"/>
          </w:tcPr>
          <w:p>
            <w:pPr>
              <w:spacing w:after="60" w:before="60" w:line="240" w:lineRule="auto"/>
            </w:pPr>
            <w:r>
              <w:rPr>
                <w:rFonts w:ascii="Times New Roman" w:hAnsi="Times New Roman"/>
                <w:b w:val="0"/>
                <w:sz w:val="22"/>
              </w:rPr>
              <w:t>Тіл</w:t>
            </w:r>
          </w:p>
        </w:tc>
        <w:tc>
          <w:tcPr>
            <w:tcW w:type="dxa" w:w="3888"/>
            <w:vAlign w:val="center"/>
          </w:tcPr>
          <w:p>
            <w:pPr>
              <w:spacing w:after="60" w:before="60" w:line="240" w:lineRule="auto"/>
            </w:pPr>
            <w:r>
              <w:rPr>
                <w:rFonts w:ascii="Times New Roman" w:hAnsi="Times New Roman"/>
                <w:b w:val="0"/>
                <w:sz w:val="22"/>
              </w:rPr>
              <w:t>Білімін ауызша жеткізуде қиналу</w:t>
            </w:r>
          </w:p>
        </w:tc>
        <w:tc>
          <w:tcPr>
            <w:tcW w:type="dxa" w:w="4003"/>
            <w:vAlign w:val="center"/>
          </w:tcPr>
          <w:p>
            <w:pPr>
              <w:spacing w:after="60" w:before="60" w:line="240" w:lineRule="auto"/>
            </w:pPr>
            <w:r>
              <w:rPr>
                <w:rFonts w:ascii="Times New Roman" w:hAnsi="Times New Roman"/>
                <w:b w:val="0"/>
                <w:sz w:val="22"/>
              </w:rPr>
              <w:t>Тірек сөз сурет және жауаптың бірнеше тәсілі</w:t>
            </w:r>
          </w:p>
        </w:tc>
      </w:tr>
      <w:tr>
        <w:trPr>
          <w:cantSplit/>
        </w:trPr>
        <w:tc>
          <w:tcPr>
            <w:tcW w:type="dxa" w:w="1512"/>
            <w:vAlign w:val="center"/>
          </w:tcPr>
          <w:p>
            <w:pPr>
              <w:spacing w:after="60" w:before="60" w:line="240" w:lineRule="auto"/>
            </w:pPr>
            <w:r>
              <w:rPr>
                <w:rFonts w:ascii="Times New Roman" w:hAnsi="Times New Roman"/>
                <w:b w:val="0"/>
                <w:sz w:val="22"/>
              </w:rPr>
              <w:t>Оқу тәжірибесі</w:t>
            </w:r>
          </w:p>
        </w:tc>
        <w:tc>
          <w:tcPr>
            <w:tcW w:type="dxa" w:w="3888"/>
            <w:vAlign w:val="center"/>
          </w:tcPr>
          <w:p>
            <w:pPr>
              <w:spacing w:after="60" w:before="60" w:line="240" w:lineRule="auto"/>
            </w:pPr>
            <w:r>
              <w:rPr>
                <w:rFonts w:ascii="Times New Roman" w:hAnsi="Times New Roman"/>
                <w:b w:val="0"/>
                <w:sz w:val="22"/>
              </w:rPr>
              <w:t>Бағдарламадағы үзіліс не басқа оқу тәртібі</w:t>
            </w:r>
          </w:p>
        </w:tc>
        <w:tc>
          <w:tcPr>
            <w:tcW w:type="dxa" w:w="4003"/>
            <w:vAlign w:val="center"/>
          </w:tcPr>
          <w:p>
            <w:pPr>
              <w:spacing w:after="60" w:before="60" w:line="240" w:lineRule="auto"/>
            </w:pPr>
            <w:r>
              <w:rPr>
                <w:rFonts w:ascii="Times New Roman" w:hAnsi="Times New Roman"/>
                <w:b w:val="0"/>
                <w:sz w:val="22"/>
              </w:rPr>
              <w:t>Бастапқы білімді жеке анықтау</w:t>
            </w:r>
          </w:p>
        </w:tc>
      </w:tr>
      <w:tr>
        <w:trPr>
          <w:cantSplit/>
        </w:trPr>
        <w:tc>
          <w:tcPr>
            <w:tcW w:type="dxa" w:w="1512"/>
            <w:vAlign w:val="center"/>
          </w:tcPr>
          <w:p>
            <w:pPr>
              <w:spacing w:after="60" w:before="60" w:line="240" w:lineRule="auto"/>
            </w:pPr>
            <w:r>
              <w:rPr>
                <w:rFonts w:ascii="Times New Roman" w:hAnsi="Times New Roman"/>
                <w:b w:val="0"/>
                <w:sz w:val="22"/>
              </w:rPr>
              <w:t>Қарым-қатынас</w:t>
            </w:r>
          </w:p>
        </w:tc>
        <w:tc>
          <w:tcPr>
            <w:tcW w:type="dxa" w:w="3888"/>
            <w:vAlign w:val="center"/>
          </w:tcPr>
          <w:p>
            <w:pPr>
              <w:spacing w:after="60" w:before="60" w:line="240" w:lineRule="auto"/>
            </w:pPr>
            <w:r>
              <w:rPr>
                <w:rFonts w:ascii="Times New Roman" w:hAnsi="Times New Roman"/>
                <w:b w:val="0"/>
                <w:sz w:val="22"/>
              </w:rPr>
              <w:t>Жұп пен топқа қосылуда қысылу</w:t>
            </w:r>
          </w:p>
        </w:tc>
        <w:tc>
          <w:tcPr>
            <w:tcW w:type="dxa" w:w="4003"/>
            <w:vAlign w:val="center"/>
          </w:tcPr>
          <w:p>
            <w:pPr>
              <w:spacing w:after="60" w:before="60" w:line="240" w:lineRule="auto"/>
            </w:pPr>
            <w:r>
              <w:rPr>
                <w:rFonts w:ascii="Times New Roman" w:hAnsi="Times New Roman"/>
                <w:b w:val="0"/>
                <w:sz w:val="22"/>
              </w:rPr>
              <w:t>Айқын рөл және ерікті құрдастар қолдауы</w:t>
            </w:r>
          </w:p>
        </w:tc>
      </w:tr>
      <w:tr>
        <w:trPr>
          <w:cantSplit/>
        </w:trPr>
        <w:tc>
          <w:tcPr>
            <w:tcW w:type="dxa" w:w="1512"/>
            <w:vAlign w:val="center"/>
          </w:tcPr>
          <w:p>
            <w:pPr>
              <w:spacing w:after="60" w:before="60" w:line="240" w:lineRule="auto"/>
            </w:pPr>
            <w:r>
              <w:rPr>
                <w:rFonts w:ascii="Times New Roman" w:hAnsi="Times New Roman"/>
                <w:b w:val="0"/>
                <w:sz w:val="22"/>
              </w:rPr>
              <w:t>Өзін реттеу</w:t>
            </w:r>
          </w:p>
        </w:tc>
        <w:tc>
          <w:tcPr>
            <w:tcW w:type="dxa" w:w="3888"/>
            <w:vAlign w:val="center"/>
          </w:tcPr>
          <w:p>
            <w:pPr>
              <w:spacing w:after="60" w:before="60" w:line="240" w:lineRule="auto"/>
            </w:pPr>
            <w:r>
              <w:rPr>
                <w:rFonts w:ascii="Times New Roman" w:hAnsi="Times New Roman"/>
                <w:b w:val="0"/>
                <w:sz w:val="22"/>
              </w:rPr>
              <w:t>Көмек сұрау жолын білмеу</w:t>
            </w:r>
          </w:p>
        </w:tc>
        <w:tc>
          <w:tcPr>
            <w:tcW w:type="dxa" w:w="4003"/>
            <w:vAlign w:val="center"/>
          </w:tcPr>
          <w:p>
            <w:pPr>
              <w:spacing w:after="60" w:before="60" w:line="240" w:lineRule="auto"/>
            </w:pPr>
            <w:r>
              <w:rPr>
                <w:rFonts w:ascii="Times New Roman" w:hAnsi="Times New Roman"/>
                <w:b w:val="0"/>
                <w:sz w:val="22"/>
              </w:rPr>
              <w:t>Көмек сұраудың дайын әрі қауіпсіз тәсілі</w:t>
            </w:r>
          </w:p>
        </w:tc>
      </w:tr>
    </w:tbl>
    <w:p>
      <w:pPr>
        <w:pStyle w:val="1"/>
      </w:pPr>
      <w:r>
        <w:t>4 Жас ерекшелігі мен күшті жақтары</w:t>
      </w:r>
    </w:p>
    <w:p>
      <w:pPr>
        <w:pStyle w:val="af"/>
        <w:spacing w:line="276" w:lineRule="auto" w:after="120"/>
        <w:ind w:firstLine="720"/>
        <w:jc w:val="both"/>
      </w:pPr>
      <w:r>
        <w:rPr>
          <w:lang w:val="kk-KZ"/>
        </w:rPr>
        <w:t>Бастауыш сынып оқушысы үшін күн тәртібі, таныс ересектің қолдауы және көрнекі түсіндіру маңызды болуы мүмкін. Негізгі орта буында құрдастарының қабылдауы, топтағы орны және әділ қарым-қатынас айқын мәнге ие болады. Жоғары сыныпта емтиханға дайындық, білім бағытын жалғастыру және келесі қадамның белгісіздігі алаңдатуы ықтимал. Бұл айырмашылықтар қатаң шекара емес: нақты баланың жасымен қатар жеке тәжірибесі де ескеріледі.</w:t>
      </w:r>
    </w:p>
    <w:p>
      <w:pPr>
        <w:pStyle w:val="af"/>
        <w:spacing w:line="276" w:lineRule="auto" w:after="120"/>
        <w:ind w:firstLine="720"/>
        <w:jc w:val="both"/>
      </w:pPr>
      <w:r>
        <w:rPr>
          <w:lang w:val="kk-KZ"/>
        </w:rPr>
        <w:t>Педагогикалық сипаттама тек қиындықтар тізімі болмауы тиіс. Оқушының бірнеше тіл білуі, отбасыдағы жауапкершілігі, практикалық дағдысы, қызығушылығы және бұрынғы жетістігі тіркеледі. Мысалы, ол жаңа тілде баяу жауап берсе де, графикалық тапсырманы жақсы орындауы мүмкін. Күшті жағына сүйенген оқу тапсырмасы оның сыныпқа үлес қоса алатынын көрсетеді және өз мүмкіндігін бағалауға көмектеседі.</w:t>
      </w:r>
    </w:p>
    <w:p>
      <w:pPr>
        <w:pStyle w:val="af"/>
        <w:spacing w:line="276" w:lineRule="auto" w:after="120"/>
        <w:ind w:firstLine="720"/>
        <w:jc w:val="both"/>
      </w:pPr>
      <w:r>
        <w:rPr>
          <w:lang w:val="kk-KZ"/>
        </w:rPr>
        <w:t>Отбасы да тек мәселенің көзі ретінде қарастырылмайды. Ата-ана баланың бұрынғы оқуын, үйреншікті тәсілдерін және қызығушылығын түсіндіре алады. Қарым-қатынас түсінікті тілде, айыптаусыз және отбасының мүмкіндігін ескеріп жүргізіледі. Мектеп қажетті мәліметті сұрайды, бірақ жеке өмір туралы қатысы жоқ ақпаратты жинамайды. Негізгі сұрақ — балаға күнделікті оқуда қандай жағдай көмектеседі.</w:t>
      </w:r>
    </w:p>
    <w:p>
      <w:pPr>
        <w:pStyle w:val="1"/>
      </w:pPr>
      <w:r>
        <w:t>5 Ерекшеліктерді бағалау және қолдау</w:t>
      </w:r>
    </w:p>
    <w:p>
      <w:pPr>
        <w:pStyle w:val="af"/>
        <w:spacing w:line="276" w:lineRule="auto" w:after="120"/>
        <w:ind w:firstLine="720"/>
        <w:jc w:val="both"/>
      </w:pPr>
      <w:r>
        <w:rPr>
          <w:lang w:val="kk-KZ"/>
        </w:rPr>
        <w:t>Оқушыны зерделеу бірнеше дерекке сүйенуі қажет: сабақтағы бақылау, орындалған жұмыс, баланың өз пікірі және ата-анамен әңгіме. Бір реттік тапсырма оның барлық мүмкіндігін көрсетпейді. Бақылау жазбасында «ынтасыз» деген бағаның орнына нақты әрекет беріледі: «ауызша нұсқаудан кейін бастамады, суретті үлгі көрсетілгенде бірінші қадамды орындады». Мұндай сипаттама қолдаудың қай түрі көмектескенін анық көрсетеді.</w:t>
      </w:r>
    </w:p>
    <w:p>
      <w:pPr>
        <w:pStyle w:val="af"/>
        <w:spacing w:line="276" w:lineRule="auto" w:after="120"/>
        <w:ind w:firstLine="720"/>
        <w:jc w:val="both"/>
      </w:pPr>
      <w:r>
        <w:rPr>
          <w:lang w:val="kk-KZ"/>
        </w:rPr>
        <w:t>Қолдау қажеттілігі педагог-психологпен, әлеуметтік педагогпен және тиісті мамандармен бірлесіп талданады. Психологиялық-педагогикалық қолдау қағидаларында құпиялылық, жас және жеке ерекшелікті ескеру, отбасыға консультациялық көмек беру қарастырылған [3]. Педагог оқу ортасын бейімдейді, бірақ клиникалық диагноз қоймайды. Егер қиындық тұрақты болып, баланың күнделікті әрекетіне елеулі әсер етсе, мектептегі қолдау тетігі арқылы маманның көмегіне жүгіну қажет.</w:t>
      </w:r>
    </w:p>
    <w:p>
      <w:pPr>
        <w:pStyle w:val="af"/>
        <w:spacing w:line="276" w:lineRule="auto" w:after="120"/>
        <w:ind w:firstLine="720"/>
        <w:jc w:val="both"/>
      </w:pPr>
      <w:r>
        <w:rPr>
          <w:lang w:val="kk-KZ"/>
        </w:rPr>
        <w:t>Қолдаудың нәтижесі тек бағамен өлшенбейді. Оқушы тапсырманы бастай ала ма, көмек сұрай ма, жұптық жұмысқа қатыса ма және нұсқауды дұрыс түсіндіре ме деген көрсеткіштер бірге қарастырылады. Бұрынғы нәтижесімен салыстыру шағын өзгерісті байқауға мүмкіндік береді. Қолдау көмектеспесе, «баланың қолынан келмейді» деген қорытынды орнына тапсырманың күрделілігі мен қолданылған тәсіл қайта қаралады.</w:t>
      </w:r>
    </w:p>
    <w:p>
      <w:pPr>
        <w:pStyle w:val="1"/>
      </w:pPr>
      <w:r>
        <w:t>6 Қысқаша педагогикалық жағдайды талдау</w:t>
      </w:r>
    </w:p>
    <w:p>
      <w:pPr>
        <w:pStyle w:val="af"/>
        <w:spacing w:line="276" w:lineRule="auto" w:after="120"/>
        <w:ind w:firstLine="720"/>
        <w:jc w:val="both"/>
      </w:pPr>
      <w:r>
        <w:rPr>
          <w:lang w:val="kk-KZ"/>
        </w:rPr>
        <w:t>Төмендегі жағдай — түсіндіру үшін құрастырылған шартты мысал. Алтыншы сыныпқа жаңа келген оқушы ауызша жауаптан бас тартады, бірақ сурет пен қысқа жазба арқылы тапсырманың негізгі ойын көрсетеді. Топтық жұмыста сирек сөйлейді және ұзақ нұсқаудан кейін күтіп отырады. Бұл сипаттама нақты балаға жүргізілген зерттеу немесе диагностикалық қорытынды емес.</w:t>
      </w:r>
    </w:p>
    <w:p>
      <w:pPr>
        <w:pStyle w:val="af"/>
        <w:spacing w:line="276" w:lineRule="auto" w:after="120"/>
        <w:ind w:firstLine="720"/>
        <w:jc w:val="both"/>
      </w:pPr>
      <w:r>
        <w:rPr>
          <w:lang w:val="kk-KZ"/>
        </w:rPr>
        <w:t>Бірінші болжам — оқыту тіліндегі қиындық пен жаңа ортадағы сенімнің әлі қалыптаспауы. Басқа ықтимал себептерге бағдарламалық айырмашылық, шаршау немесе тапсырма шартын түсінбеу жатады. Мұғалім қысқа нұсқау, көрнекі тірек және жұптағы айқын рөл береді. Содан кейін оқушының әрекеті салыстырылады. Егер жазба не сурет арқылы түсінуі анықталса, оны пәндік білімнің жоқтығы деп бағалауға негіз азаяды.</w:t>
      </w:r>
    </w:p>
    <w:p>
      <w:pPr>
        <w:pStyle w:val="af"/>
        <w:spacing w:line="276" w:lineRule="auto" w:after="120"/>
        <w:ind w:firstLine="720"/>
        <w:jc w:val="both"/>
      </w:pPr>
      <w:r>
        <w:rPr>
          <w:lang w:val="kk-KZ"/>
        </w:rPr>
        <w:t>Осы мысалдың негізгі сабағы — сыртқы үнсіздік пен оқудағы мүмкіндікті теңестіруге болмайды. Қолдау оқушыны сыныптан оқшаулауға емес, ортақ тапсырмаға қатыстыруға бағытталады. Оның қандай тәсілді ыңғайлы санайтыны сұралып, қажетті ақпарат ата-анамен және мамандармен келісілген шекте бөлісіледі. Әр өзгеріс байқалған қажеттілікпен байланыстырылғанда ғана педагогикалық шешім негізді болады.</w:t>
      </w:r>
    </w:p>
    <w:p>
      <w:pPr>
        <w:pStyle w:val="1"/>
      </w:pPr>
      <w:r>
        <w:t>Қорытынды</w:t>
      </w:r>
    </w:p>
    <w:p>
      <w:pPr>
        <w:pStyle w:val="af"/>
        <w:keepLines/>
        <w:spacing w:line="276" w:lineRule="auto" w:after="120"/>
        <w:ind w:firstLine="720"/>
        <w:jc w:val="both"/>
      </w:pPr>
      <w:r>
        <w:rPr>
          <w:lang w:val="kk-KZ"/>
        </w:rPr>
        <w:t>Мәжбүрлі қоныс аудару жағдайындағы оқушының психологиялық-педагогикалық ерекшеліктері эмоциялық қауіпсіздік, оқу тілін түсіну, бұрынғы тәжірибе, құрдастармен байланыс және өзін реттеу арқылы көрінуі мүмкін. Оларды тұрақты кемшілік ретінде емес, нақты жағдайда бағаланатын қажеттілік ретінде қарастыру маңызды. Барлық балаға ортақ бір сипаттама немесе бірдей қолдау тәсілі жоқ.</w:t>
      </w:r>
    </w:p>
    <w:p>
      <w:pPr>
        <w:pStyle w:val="af"/>
        <w:spacing w:line="276" w:lineRule="auto" w:after="120"/>
        <w:ind w:firstLine="720"/>
        <w:jc w:val="both"/>
      </w:pPr>
      <w:r>
        <w:rPr>
          <w:lang w:val="kk-KZ"/>
        </w:rPr>
        <w:t>Тиімді педагогикалық ұстаным нақты әрекетті бақылауға, күшті жақтарды анықтауға, отбасы мен мамандармен серіктестікке сүйенеді. Түсінікті нұсқау, қауіпсіз қарым-қатынас және жауаптың қолжетімді тәсілі баланың білімін көрсетуіне мүмкіндік береді. Инклюзивті ортадағы негізгі нәтиже — оқушының өзін құрметтелген қатысушы ретінде сезініп, оқу әрекетіне біртіндеп дербес араласуы.</w:t>
      </w:r>
    </w:p>
    <w:p>
      <w:pPr>
        <w:pStyle w:val="1"/>
      </w:pPr>
      <w:r>
        <w:t>Пайдаланылған әдебиеттер</w:t>
      </w:r>
    </w:p>
    <w:p>
      <w:pPr>
        <w:spacing w:after="120"/>
        <w:jc w:val="left"/>
      </w:pPr>
      <w:r>
        <w:rPr>
          <w:sz w:val="22"/>
        </w:rPr>
        <w:t>1. UNICEF Қазақстан. Көші-қон процестеріндегі балаларды қолдау жөніндегі практикалық нұсқаулық: кәмелетке толмағандарды бейімдеу және қиын өмірлік жағдайдағы балаларды қолдау орталықтарына арналған. 2021. Қазақша нұсқа. URL: https://www.unicef.org/kazakhstan/media/7581/file/Руководство%20для%20Центров%20Адаптации%20КАЗ%20WEB.pdf.pdf</w:t>
      </w:r>
    </w:p>
    <w:p>
      <w:pPr>
        <w:spacing w:after="120"/>
        <w:jc w:val="left"/>
      </w:pPr>
      <w:r>
        <w:rPr>
          <w:sz w:val="22"/>
        </w:rPr>
        <w:t>2. UNHCR. Teaching About Refugees. Guidance for teachers on stress and trauma. 2021. Мұғалімдерге арналған материал. URL: https://www.unhcr.org/africa/media/unhcr-teaching-about-refugees-2021-stress-and-trauma-guidebook</w:t>
      </w:r>
    </w:p>
    <w:p>
      <w:pPr>
        <w:spacing w:after="120"/>
        <w:jc w:val="left"/>
      </w:pPr>
      <w:r>
        <w:rPr>
          <w:sz w:val="22"/>
        </w:rPr>
        <w:t>3. Білім беру ұйымдарындағы психологиялық-педагогикалық қолдау қызметінің жұмыс істеу қағидаларын бекіту туралы. ҚР Оқу-ағарту министрінің 29.04.2025 № 92 бұйрығы; 29.05.2026 № 144-НҚ өзгерісі ескерілген редакция. 1-қосымша, 2, 4, 5, 7-тармақтар. URL: https://adilet.zan.kz/kaz/docs/V2500036047</w:t>
      </w:r>
    </w:p>
    <w:p>
      <w:pPr>
        <w:spacing w:after="120"/>
        <w:jc w:val="left"/>
      </w:pPr>
      <w:r>
        <w:rPr>
          <w:sz w:val="22"/>
        </w:rPr>
        <w:t>Электрондық дереккөздер тексерілген күн: 28.10.2026. Қолдау тәсілдері мен шартты жағдайдың талдауы — автордың оқу мақсатындағы педагогикалық ұсыныстары.</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Қиын өмірлік жағдайға тап болған оқушылардың психологиялық-педагогикалық ерекшеліктері</dc:title>
  <dc:subject>Инклюзивті білім беру ортасы — БӨЖ9</dc:subject>
  <dc:creator>Биарстанов Д.А.</dc:creator>
  <cp:keywords/>
  <dc:description/>
  <cp:lastModifiedBy>Биарстанов Д.А.</cp:lastModifiedBy>
  <cp:revision>3</cp:revision>
  <dcterms:created xsi:type="dcterms:W3CDTF">2026-10-02T15:54:00Z</dcterms:created>
  <dcterms:modified xsi:type="dcterms:W3CDTF">2026-10-02T16:26:00Z</dcterms:modified>
  <cp:category/>
</cp:coreProperties>
</file>