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РЕФЕРАТ</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Бағалау және Дамыту</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Ақпарат және оның қасиеттері</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Жомарт А.</w:t>
        <w:br/>
        <w:t>Тексерген: Тойшыбек Т.Т.</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Ақпарат ұғымы және оны ұсыну</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Ақпараттың негізгі қасиеттері</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Ақпараттық процестер және сапаны сақтау</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Ақпаратты сандық өлшеу және оның шегі</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5 Білім беруде ақпаратты бағалау</w:t>
            <w:tab/>
            <w:t>7</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8</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8</w:t>
          </w:r>
        </w:p>
      </w:sdtContent>
    </w:sdt>
    <w:p>
      <w:pPr>
        <w:pStyle w:val="1"/>
        <w:pageBreakBefore/>
      </w:pPr>
      <w:r>
        <w:t>Кіріспе</w:t>
      </w:r>
    </w:p>
    <w:p>
      <w:pPr>
        <w:pStyle w:val="af"/>
        <w:spacing w:line="276" w:lineRule="auto" w:after="120"/>
        <w:ind w:firstLine="720"/>
        <w:jc w:val="both"/>
      </w:pPr>
      <w:r>
        <w:rPr>
          <w:lang w:val="kk-KZ"/>
        </w:rPr>
        <w:t>Ақпараттың көп болуы оның сапалы екенін білдірмейді. Оқу тапсырмасын орындау, зерттеу жүргізу немесе күнделікті шешім қабылдау кезінде мәліметтің шындыққа сәйкестігін, уақытын және мақсатқа жарамдылығын бағалау қажет. Бір дерек әртүрлі жағдайда әртүрлі мәнге ие болады: өткен жылғы сабақ кестесі тарихи анықтама үшін пайдалы болғанымен, бүгінгі сабаққа бару уақытын анықтауға жарамайды. Сондықтан ақпаратты түсіну оның мазмұнымен қатар қолданылатын жағдайын ескеруді талап етеді.</w:t>
      </w:r>
    </w:p>
    <w:p>
      <w:pPr>
        <w:pStyle w:val="af"/>
        <w:spacing w:line="276" w:lineRule="auto" w:after="120"/>
        <w:ind w:firstLine="720"/>
        <w:jc w:val="both"/>
      </w:pPr>
      <w:r>
        <w:rPr>
          <w:lang w:val="kk-KZ"/>
        </w:rPr>
        <w:t>Рефераттың мақсаты — ақпарат ұғымын түсіндіріп, негізгі қасиеттерінің өзара байланысын және оларды бағалау тәсілдерін талдау. Жұмыста дерек пен ақпараттың айырмашылығы, ақпаратты ұсыну түрлері, ақпараттық процестер және сандық өлшемнің мағыналық бағалаудан өзгешелігі қарастырылады. Талдау оқу әдебиетіне, ақпарат теориясының бастапқы еңбегіне және медиалық сауаттылық жөніндегі ресми материалға сүйенеді. Практикалық бөлімдегі жағдайлар ұғымдарды түсіндіру үшін құрастырылған оқу мысалдары болып табылады.</w:t>
      </w:r>
    </w:p>
    <w:p>
      <w:pPr>
        <w:pStyle w:val="1"/>
      </w:pPr>
      <w:r>
        <w:t>1 Ақпарат ұғымы және оны ұсыну</w:t>
      </w:r>
    </w:p>
    <w:p>
      <w:pPr>
        <w:pStyle w:val="21"/>
      </w:pPr>
      <w:r>
        <w:t>1.1 Дерек ақпарат және білім</w:t>
      </w:r>
    </w:p>
    <w:p>
      <w:pPr>
        <w:pStyle w:val="af"/>
        <w:spacing w:line="276" w:lineRule="auto" w:after="120"/>
        <w:ind w:firstLine="720"/>
        <w:jc w:val="both"/>
      </w:pPr>
      <w:r>
        <w:rPr>
          <w:lang w:val="kk-KZ"/>
        </w:rPr>
        <w:t>Дерек — тіркелген сан, белгі, өлшеу нәтижесі немесе оқиға туралы жазба. Ақпарат осы дерек түсіндіріліп, белгілі бір сұраққа жауап берген кезде пайда болады. Мысалы, «18» деген санның мағынасы белгісіз. «Бөлме температурасы 18 °C» деген хабарлама өлшенген шаманы анықтайды. Оған өлшеу уақыты мен орны қосылса, жылыту жүйесінің жұмысын бағалауға негіз қалыптасады. Осылайша контекст деректі қолдануға болатын ақпаратқа айналдырады.</w:t>
      </w:r>
    </w:p>
    <w:p>
      <w:pPr>
        <w:pStyle w:val="af"/>
        <w:spacing w:line="276" w:lineRule="auto" w:after="120"/>
        <w:ind w:firstLine="720"/>
        <w:jc w:val="both"/>
      </w:pPr>
      <w:r>
        <w:rPr>
          <w:lang w:val="kk-KZ"/>
        </w:rPr>
        <w:t>Білім ақпаратты байланыстыру және түсіндіру арқылы қалыптасады. Температураның төмендеуін байқау — ақпарат алу; оның себебін зерттеп, қай жағдайда желдету не жылыту қажет екенін түсіндіру — білімге сүйенген әрекет. Бұл айырмашылық білім алушының дамуын бағалауда маңызды. Ол анықтаманы қайталай алуы мүмкін, бірақ жаңа жағдайда қолданбаса, тақырыпты меңгеру деңгейі толық ашылмайды. Сондықтан бағалау деректі есте сақтаумен шектелмеуі керек.</w:t>
      </w:r>
    </w:p>
    <w:p>
      <w:pPr>
        <w:pStyle w:val="af"/>
        <w:spacing w:line="276" w:lineRule="auto" w:after="120"/>
        <w:ind w:firstLine="720"/>
        <w:jc w:val="both"/>
      </w:pPr>
      <w:r>
        <w:rPr>
          <w:lang w:val="kk-KZ"/>
        </w:rPr>
        <w:t>Ақпаратты пайдаланушының бұрынғы білімі де қабылдауға әсер етеді. Бағдарламалау тәжірибесі бар студент қате туралы хабарламадан оның ықтимал себебін түсінеді, ал тәжірибесі аз студентке қосымша түсіндіру қажет болуы мүмкін. Хабарламаның таңбалары өзгермесе де, оны түсіну дәрежесі өзгереді. Бұл ақпараттың түсініктілігін тек мәтіннің қысқалығымен өлшеуге болмайтынын көрсетеді: терминдер, құрылым және аудиторияның дайындығы бірге ескеріледі.</w:t>
      </w:r>
    </w:p>
    <w:p>
      <w:pPr>
        <w:pStyle w:val="21"/>
      </w:pPr>
      <w:r>
        <w:t>1.2 Ақпаратты ұсыну түрлері</w:t>
      </w:r>
    </w:p>
    <w:p>
      <w:pPr>
        <w:pStyle w:val="af"/>
        <w:spacing w:line="276" w:lineRule="auto" w:after="120"/>
        <w:ind w:firstLine="720"/>
        <w:jc w:val="both"/>
      </w:pPr>
      <w:r>
        <w:rPr>
          <w:lang w:val="kk-KZ"/>
        </w:rPr>
        <w:t>Ақпарат мәтін, сан, кескін, дыбыс және бейне арқылы ұсынылады. Мәтін анықтама мен дәлелді егжей-тегжейлі жеткізуге ыңғайлы. Сандық мәлімет мөлшерді салыстыруға мүмкіндік береді. Кескін кеңістіктік құрылымды көрсетеді, ал дыбыс дауыс ерекшелігін жеткізеді. Бейне қозғалыс пен өзгерісті уақыт бойынша бейнелейді. Бір мазмұнды бірнеше түрде беру түсінуді жеңілдетуі мүмкін, бірақ әр түрде мазмұнның бір бөлігі жоғалуы немесе басқаша түсіндірілуі ықтимал.</w:t>
      </w:r>
    </w:p>
    <w:p>
      <w:pPr>
        <w:pStyle w:val="af"/>
        <w:spacing w:line="276" w:lineRule="auto" w:after="120"/>
        <w:ind w:firstLine="720"/>
        <w:jc w:val="both"/>
      </w:pPr>
      <w:r>
        <w:rPr>
          <w:lang w:val="kk-KZ"/>
        </w:rPr>
        <w:t>Мысалы, оқушылардың оқу нәтижесін сандық кесте нақты мәндермен көрсетеді, ал бағандық диаграмма айырмашылықты жылдам байқауға көмектеседі. Диаграммада осьтің атауы, өлшем бірлігі және қарастырылған кезең болмаса, оның сыртқы көрінісі түсінікті болғанымен, қорытынды қате болуы мүмкін. Демек, ұсыну тәсілі ақпараттың сапасын автоматты түрде қамтамасыз етпейді. Әр көрнекі материал бастапқы дерекке сай келіп, оқырманға тексеру мүмкіндігін беруі тиіс.</w:t>
      </w:r>
    </w:p>
    <w:p>
      <w:pPr>
        <w:pStyle w:val="1"/>
      </w:pPr>
      <w:r>
        <w:t>2 Ақпараттың негізгі қасиеттері</w:t>
      </w:r>
    </w:p>
    <w:p>
      <w:pPr>
        <w:pStyle w:val="21"/>
      </w:pPr>
      <w:r>
        <w:t>2.1 Сенімділік дәлдік және толықтық</w:t>
      </w:r>
    </w:p>
    <w:p>
      <w:pPr>
        <w:pStyle w:val="af"/>
        <w:spacing w:line="276" w:lineRule="auto" w:after="120"/>
        <w:ind w:firstLine="720"/>
        <w:jc w:val="both"/>
      </w:pPr>
      <w:r>
        <w:rPr>
          <w:lang w:val="kk-KZ"/>
        </w:rPr>
        <w:t>Сенімділік ақпараттың негізді дереккөзге сүйенуін және шындыққа сәйкестігін тексеруге болатындығын білдіреді. Автордың аты көрсетілуі пайдалы, бірақ ол өздігінен жеткілікті дәлел емес. Мәліметтің қалай алынғанын, қандай құжатқа негізделгенін және басқа тәуелсіз дерекпен үйлесетінін қарастыру қажет. Бір хабарламаның бірнеше сайтта қайталануы тәуелсіз растау болмауы мүмкін: олардың барлығы бір бастапқы жарияланымды көшіріп алуы ықтимал.</w:t>
      </w:r>
    </w:p>
    <w:p>
      <w:pPr>
        <w:pStyle w:val="af"/>
        <w:spacing w:line="276" w:lineRule="auto" w:after="120"/>
        <w:ind w:firstLine="720"/>
        <w:jc w:val="both"/>
      </w:pPr>
      <w:r>
        <w:rPr>
          <w:lang w:val="kk-KZ"/>
        </w:rPr>
        <w:t>Дәлдік мәліметтің зерттелетін нысанға немесе өлшенген шамаға қаншалықты сәйкес келетінін сипаттайды. Өлшеу нәтижесінде құралдың мүмкіндігі мен қателігі ескеріледі. Егер ұзындық шамамен анықталса, оны негізсіз көп ондық таңбамен жазу дәлдікті арттырмайды. Бағалау есебінде ұпайды қате көшіру де ақпараттың дәлдігін бұзады. Сенімді дереккөздегі жазбада техникалық қате болуы мүмкін болғандықтан, сенімділік пен дәлдікті жеке тексеру қажет.</w:t>
      </w:r>
    </w:p>
    <w:p>
      <w:pPr>
        <w:pStyle w:val="af"/>
        <w:spacing w:line="276" w:lineRule="auto" w:after="120"/>
        <w:ind w:firstLine="720"/>
        <w:jc w:val="both"/>
      </w:pPr>
      <w:r>
        <w:rPr>
          <w:lang w:val="kk-KZ"/>
        </w:rPr>
        <w:t>Толықтық — белгілі бір міндетті шешуге жеткілікті мәліметтің болуы. Ол барлық деректі жинау деген сөз емес. Емтихан туралы хабарламада пән, күн, уақыт, орын және қатысу шарты көрсетілсе, ұйымдастыру мақсаты үшін қажетті толықтық қамтамасыз етіледі. Ал тек күнін білу жеткіліксіз. Сонымен бірге артық мәлімет негізгі шартты көмескілеуі мүмкін. Сондықтан толықтықты бағалау алдымен пайдаланушы шешетін сұрақты анықтаудан басталады.</w:t>
      </w:r>
    </w:p>
    <w:p>
      <w:pPr>
        <w:pStyle w:val="21"/>
      </w:pPr>
      <w:r>
        <w:t>2.2 Өзектілік түсініктілік және құндылық</w:t>
      </w:r>
    </w:p>
    <w:p>
      <w:pPr>
        <w:pStyle w:val="af"/>
        <w:spacing w:line="276" w:lineRule="auto" w:after="120"/>
        <w:ind w:firstLine="720"/>
        <w:jc w:val="both"/>
      </w:pPr>
      <w:r>
        <w:rPr>
          <w:lang w:val="kk-KZ"/>
        </w:rPr>
        <w:t>Өзектілік ақпараттың қолданылатын уақыт пен жағдайға сәйкестігін білдіреді. Кейбір дерек жылдам ескіреді: аудиторияның ауысуы немесе қабылдау мерзімі өзгеруі мүмкін. Ал математикалық анықтаманың жарамдылығы күн сайын өзгермейді. Демек, жарияланған күні ескі материалды бірден жарамсыз деп тану дұрыс емес. Қандай мәліметтің өзгеруі ықтимал екенін анықтап, қажет болған жағдайда жаңартылған нұсқасын тексерген жөн.</w:t>
      </w:r>
    </w:p>
    <w:p>
      <w:pPr>
        <w:pStyle w:val="af"/>
        <w:spacing w:line="276" w:lineRule="auto" w:after="120"/>
        <w:ind w:firstLine="720"/>
        <w:jc w:val="both"/>
      </w:pPr>
      <w:r>
        <w:rPr>
          <w:lang w:val="kk-KZ"/>
        </w:rPr>
        <w:t>Түсініктілік ақпараттың адресатқа қолжетімді тілмен және айқын құрылыммен берілуіне байланысты. Терминдер анықталмаса, ғылыми тұрғыдан дұрыс мәтінді де қабылдау қиын. Мәтінді тым жеңілдету кезінде маңызды шарттар түсіп қалуы мүмкін. Сондықтан түсінікті түсіндірудің өлшемі — оқырманның негізгі ойды және оның қолданылу шегін дұрыс жеткізе алуы. Оқу материалында анықтамаға мысал қосу осы мақсатқа қызмет етеді.</w:t>
      </w:r>
    </w:p>
    <w:p>
      <w:pPr>
        <w:pStyle w:val="af"/>
        <w:spacing w:line="276" w:lineRule="auto" w:after="120"/>
        <w:ind w:firstLine="720"/>
        <w:jc w:val="both"/>
      </w:pPr>
      <w:r>
        <w:rPr>
          <w:lang w:val="kk-KZ"/>
        </w:rPr>
        <w:t>Құндылық ақпараттың нақты мақсатқа көмектесуін көрсетеді. Сенімді тарихи мәлімет компьютердегі бүгінгі ақауды анықтауға жарамауы мүмкін. Ақпараттың объективтілігі мен мақсатқа жарамдылығы да бірдей ұғым емес. Зерттеуші автордың пікірін, тіркелген фактіні және болжамды ажыратуы қажет. Пікір ашық көрсетіліп, дәлелмен негізделсе, талдау үшін пайдалы болады; мәселе оны тексерілген факт ретінде ұсынғанда туындайды.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1699"/>
        <w:gridCol w:w="3528"/>
        <w:gridCol w:w="4176"/>
      </w:tblGrid>
      <w:tr>
        <w:trPr>
          <w:tblHeader/>
          <w:cantSplit/>
        </w:trPr>
        <w:tc>
          <w:tcPr>
            <w:tcW w:type="dxa" w:w="1699"/>
            <w:vAlign w:val="center"/>
            <w:shd w:fill="EEEEEE"/>
          </w:tcPr>
          <w:p>
            <w:pPr>
              <w:spacing w:after="60" w:before="60" w:line="240" w:lineRule="auto"/>
            </w:pPr>
            <w:r>
              <w:rPr>
                <w:rFonts w:ascii="Times New Roman" w:hAnsi="Times New Roman"/>
                <w:b/>
                <w:sz w:val="22"/>
              </w:rPr>
              <w:t>Қасиет</w:t>
            </w:r>
          </w:p>
        </w:tc>
        <w:tc>
          <w:tcPr>
            <w:tcW w:type="dxa" w:w="3528"/>
            <w:vAlign w:val="center"/>
            <w:shd w:fill="EEEEEE"/>
          </w:tcPr>
          <w:p>
            <w:pPr>
              <w:spacing w:after="60" w:before="60" w:line="240" w:lineRule="auto"/>
            </w:pPr>
            <w:r>
              <w:rPr>
                <w:rFonts w:ascii="Times New Roman" w:hAnsi="Times New Roman"/>
                <w:b/>
                <w:sz w:val="22"/>
              </w:rPr>
              <w:t>Бағалау сұрағы</w:t>
            </w:r>
          </w:p>
        </w:tc>
        <w:tc>
          <w:tcPr>
            <w:tcW w:type="dxa" w:w="4176"/>
            <w:vAlign w:val="center"/>
            <w:shd w:fill="EEEEEE"/>
          </w:tcPr>
          <w:p>
            <w:pPr>
              <w:spacing w:after="60" w:before="60" w:line="240" w:lineRule="auto"/>
            </w:pPr>
            <w:r>
              <w:rPr>
                <w:rFonts w:ascii="Times New Roman" w:hAnsi="Times New Roman"/>
                <w:b/>
                <w:sz w:val="22"/>
              </w:rPr>
              <w:t>Оқу жағдайындағы мысал</w:t>
            </w:r>
          </w:p>
        </w:tc>
      </w:tr>
      <w:tr>
        <w:trPr>
          <w:cantSplit/>
        </w:trPr>
        <w:tc>
          <w:tcPr>
            <w:tcW w:type="dxa" w:w="1699"/>
            <w:vAlign w:val="center"/>
          </w:tcPr>
          <w:p>
            <w:pPr>
              <w:spacing w:after="60" w:before="60" w:line="240" w:lineRule="auto"/>
            </w:pPr>
            <w:r>
              <w:rPr>
                <w:rFonts w:ascii="Times New Roman" w:hAnsi="Times New Roman"/>
                <w:b w:val="0"/>
                <w:sz w:val="22"/>
              </w:rPr>
              <w:t>Сенімділік</w:t>
            </w:r>
          </w:p>
        </w:tc>
        <w:tc>
          <w:tcPr>
            <w:tcW w:type="dxa" w:w="3528"/>
            <w:vAlign w:val="center"/>
          </w:tcPr>
          <w:p>
            <w:pPr>
              <w:spacing w:after="60" w:before="60" w:line="240" w:lineRule="auto"/>
            </w:pPr>
            <w:r>
              <w:rPr>
                <w:rFonts w:ascii="Times New Roman" w:hAnsi="Times New Roman"/>
                <w:b w:val="0"/>
                <w:sz w:val="22"/>
              </w:rPr>
              <w:t>Дерек қайдан алынған және қалай расталған?</w:t>
            </w:r>
          </w:p>
        </w:tc>
        <w:tc>
          <w:tcPr>
            <w:tcW w:type="dxa" w:w="4176"/>
            <w:vAlign w:val="center"/>
          </w:tcPr>
          <w:p>
            <w:pPr>
              <w:spacing w:after="60" w:before="60" w:line="240" w:lineRule="auto"/>
            </w:pPr>
            <w:r>
              <w:rPr>
                <w:rFonts w:ascii="Times New Roman" w:hAnsi="Times New Roman"/>
                <w:b w:val="0"/>
                <w:sz w:val="22"/>
              </w:rPr>
              <w:t>Кестені факультеттің ресми хабарламасымен салыстыру</w:t>
            </w:r>
          </w:p>
        </w:tc>
      </w:tr>
      <w:tr>
        <w:trPr>
          <w:cantSplit/>
        </w:trPr>
        <w:tc>
          <w:tcPr>
            <w:tcW w:type="dxa" w:w="1699"/>
            <w:vAlign w:val="center"/>
          </w:tcPr>
          <w:p>
            <w:pPr>
              <w:spacing w:after="60" w:before="60" w:line="240" w:lineRule="auto"/>
            </w:pPr>
            <w:r>
              <w:rPr>
                <w:rFonts w:ascii="Times New Roman" w:hAnsi="Times New Roman"/>
                <w:b w:val="0"/>
                <w:sz w:val="22"/>
              </w:rPr>
              <w:t>Дәлдік</w:t>
            </w:r>
          </w:p>
        </w:tc>
        <w:tc>
          <w:tcPr>
            <w:tcW w:type="dxa" w:w="3528"/>
            <w:vAlign w:val="center"/>
          </w:tcPr>
          <w:p>
            <w:pPr>
              <w:spacing w:after="60" w:before="60" w:line="240" w:lineRule="auto"/>
            </w:pPr>
            <w:r>
              <w:rPr>
                <w:rFonts w:ascii="Times New Roman" w:hAnsi="Times New Roman"/>
                <w:b w:val="0"/>
                <w:sz w:val="22"/>
              </w:rPr>
              <w:t>Сан атау және өлшем дұрыс па?</w:t>
            </w:r>
          </w:p>
        </w:tc>
        <w:tc>
          <w:tcPr>
            <w:tcW w:type="dxa" w:w="4176"/>
            <w:vAlign w:val="center"/>
          </w:tcPr>
          <w:p>
            <w:pPr>
              <w:spacing w:after="60" w:before="60" w:line="240" w:lineRule="auto"/>
            </w:pPr>
            <w:r>
              <w:rPr>
                <w:rFonts w:ascii="Times New Roman" w:hAnsi="Times New Roman"/>
                <w:b w:val="0"/>
                <w:sz w:val="22"/>
              </w:rPr>
              <w:t>Бағалау ұпайын бастапқы ведомостьпен тексеру</w:t>
            </w:r>
          </w:p>
        </w:tc>
      </w:tr>
      <w:tr>
        <w:trPr>
          <w:cantSplit/>
        </w:trPr>
        <w:tc>
          <w:tcPr>
            <w:tcW w:type="dxa" w:w="1699"/>
            <w:vAlign w:val="center"/>
          </w:tcPr>
          <w:p>
            <w:pPr>
              <w:spacing w:after="60" w:before="60" w:line="240" w:lineRule="auto"/>
            </w:pPr>
            <w:r>
              <w:rPr>
                <w:rFonts w:ascii="Times New Roman" w:hAnsi="Times New Roman"/>
                <w:b w:val="0"/>
                <w:sz w:val="22"/>
              </w:rPr>
              <w:t>Толықтық</w:t>
            </w:r>
          </w:p>
        </w:tc>
        <w:tc>
          <w:tcPr>
            <w:tcW w:type="dxa" w:w="3528"/>
            <w:vAlign w:val="center"/>
          </w:tcPr>
          <w:p>
            <w:pPr>
              <w:spacing w:after="60" w:before="60" w:line="240" w:lineRule="auto"/>
            </w:pPr>
            <w:r>
              <w:rPr>
                <w:rFonts w:ascii="Times New Roman" w:hAnsi="Times New Roman"/>
                <w:b w:val="0"/>
                <w:sz w:val="22"/>
              </w:rPr>
              <w:t>Шешімге қажетті шарттар бар ма?</w:t>
            </w:r>
          </w:p>
        </w:tc>
        <w:tc>
          <w:tcPr>
            <w:tcW w:type="dxa" w:w="4176"/>
            <w:vAlign w:val="center"/>
          </w:tcPr>
          <w:p>
            <w:pPr>
              <w:spacing w:after="60" w:before="60" w:line="240" w:lineRule="auto"/>
            </w:pPr>
            <w:r>
              <w:rPr>
                <w:rFonts w:ascii="Times New Roman" w:hAnsi="Times New Roman"/>
                <w:b w:val="0"/>
                <w:sz w:val="22"/>
              </w:rPr>
              <w:t>Тапсырмада мерзім мен тапсыру форматын көрсету</w:t>
            </w:r>
          </w:p>
        </w:tc>
      </w:tr>
      <w:tr>
        <w:trPr>
          <w:cantSplit/>
        </w:trPr>
        <w:tc>
          <w:tcPr>
            <w:tcW w:type="dxa" w:w="1699"/>
            <w:vAlign w:val="center"/>
          </w:tcPr>
          <w:p>
            <w:pPr>
              <w:spacing w:after="60" w:before="60" w:line="240" w:lineRule="auto"/>
            </w:pPr>
            <w:r>
              <w:rPr>
                <w:rFonts w:ascii="Times New Roman" w:hAnsi="Times New Roman"/>
                <w:b w:val="0"/>
                <w:sz w:val="22"/>
              </w:rPr>
              <w:t>Өзектілік</w:t>
            </w:r>
          </w:p>
        </w:tc>
        <w:tc>
          <w:tcPr>
            <w:tcW w:type="dxa" w:w="3528"/>
            <w:vAlign w:val="center"/>
          </w:tcPr>
          <w:p>
            <w:pPr>
              <w:spacing w:after="60" w:before="60" w:line="240" w:lineRule="auto"/>
            </w:pPr>
            <w:r>
              <w:rPr>
                <w:rFonts w:ascii="Times New Roman" w:hAnsi="Times New Roman"/>
                <w:b w:val="0"/>
                <w:sz w:val="22"/>
              </w:rPr>
              <w:t>Осы уақыт пен жағдайға сай ма?</w:t>
            </w:r>
          </w:p>
        </w:tc>
        <w:tc>
          <w:tcPr>
            <w:tcW w:type="dxa" w:w="4176"/>
            <w:vAlign w:val="center"/>
          </w:tcPr>
          <w:p>
            <w:pPr>
              <w:spacing w:after="60" w:before="60" w:line="240" w:lineRule="auto"/>
            </w:pPr>
            <w:r>
              <w:rPr>
                <w:rFonts w:ascii="Times New Roman" w:hAnsi="Times New Roman"/>
                <w:b w:val="0"/>
                <w:sz w:val="22"/>
              </w:rPr>
              <w:t>Аудитория өзгергеннен кейін кестені жаңарту</w:t>
            </w:r>
          </w:p>
        </w:tc>
      </w:tr>
      <w:tr>
        <w:trPr>
          <w:cantSplit/>
        </w:trPr>
        <w:tc>
          <w:tcPr>
            <w:tcW w:type="dxa" w:w="1699"/>
            <w:vAlign w:val="center"/>
          </w:tcPr>
          <w:p>
            <w:pPr>
              <w:spacing w:after="60" w:before="60" w:line="240" w:lineRule="auto"/>
            </w:pPr>
            <w:r>
              <w:rPr>
                <w:rFonts w:ascii="Times New Roman" w:hAnsi="Times New Roman"/>
                <w:b w:val="0"/>
                <w:sz w:val="22"/>
              </w:rPr>
              <w:t>Түсініктілік</w:t>
            </w:r>
          </w:p>
        </w:tc>
        <w:tc>
          <w:tcPr>
            <w:tcW w:type="dxa" w:w="3528"/>
            <w:vAlign w:val="center"/>
          </w:tcPr>
          <w:p>
            <w:pPr>
              <w:spacing w:after="60" w:before="60" w:line="240" w:lineRule="auto"/>
            </w:pPr>
            <w:r>
              <w:rPr>
                <w:rFonts w:ascii="Times New Roman" w:hAnsi="Times New Roman"/>
                <w:b w:val="0"/>
                <w:sz w:val="22"/>
              </w:rPr>
              <w:t>Адресат оны дұрыс түсіндіре ала ма?</w:t>
            </w:r>
          </w:p>
        </w:tc>
        <w:tc>
          <w:tcPr>
            <w:tcW w:type="dxa" w:w="4176"/>
            <w:vAlign w:val="center"/>
          </w:tcPr>
          <w:p>
            <w:pPr>
              <w:spacing w:after="60" w:before="60" w:line="240" w:lineRule="auto"/>
            </w:pPr>
            <w:r>
              <w:rPr>
                <w:rFonts w:ascii="Times New Roman" w:hAnsi="Times New Roman"/>
                <w:b w:val="0"/>
                <w:sz w:val="22"/>
              </w:rPr>
              <w:t>Терминді анықтап нақты мысал келтіру</w:t>
            </w:r>
          </w:p>
        </w:tc>
      </w:tr>
      <w:tr>
        <w:trPr>
          <w:cantSplit/>
        </w:trPr>
        <w:tc>
          <w:tcPr>
            <w:tcW w:type="dxa" w:w="1699"/>
            <w:vAlign w:val="center"/>
          </w:tcPr>
          <w:p>
            <w:pPr>
              <w:spacing w:after="60" w:before="60" w:line="240" w:lineRule="auto"/>
            </w:pPr>
            <w:r>
              <w:rPr>
                <w:rFonts w:ascii="Times New Roman" w:hAnsi="Times New Roman"/>
                <w:b w:val="0"/>
                <w:sz w:val="22"/>
              </w:rPr>
              <w:t>Құндылық</w:t>
            </w:r>
          </w:p>
        </w:tc>
        <w:tc>
          <w:tcPr>
            <w:tcW w:type="dxa" w:w="3528"/>
            <w:vAlign w:val="center"/>
          </w:tcPr>
          <w:p>
            <w:pPr>
              <w:spacing w:after="60" w:before="60" w:line="240" w:lineRule="auto"/>
            </w:pPr>
            <w:r>
              <w:rPr>
                <w:rFonts w:ascii="Times New Roman" w:hAnsi="Times New Roman"/>
                <w:b w:val="0"/>
                <w:sz w:val="22"/>
              </w:rPr>
              <w:t>Қойылған мақсатқа көмектесе ме?</w:t>
            </w:r>
          </w:p>
        </w:tc>
        <w:tc>
          <w:tcPr>
            <w:tcW w:type="dxa" w:w="4176"/>
            <w:vAlign w:val="center"/>
          </w:tcPr>
          <w:p>
            <w:pPr>
              <w:spacing w:after="60" w:before="60" w:line="240" w:lineRule="auto"/>
            </w:pPr>
            <w:r>
              <w:rPr>
                <w:rFonts w:ascii="Times New Roman" w:hAnsi="Times New Roman"/>
                <w:b w:val="0"/>
                <w:sz w:val="22"/>
              </w:rPr>
              <w:t>Қажетті тақырыпқа қатысты деректі таңдау</w:t>
            </w:r>
          </w:p>
        </w:tc>
      </w:tr>
    </w:tbl>
    <w:p>
      <w:pPr>
        <w:pStyle w:val="af"/>
        <w:spacing w:line="276" w:lineRule="auto" w:after="120"/>
        <w:ind w:firstLine="720"/>
        <w:jc w:val="both"/>
      </w:pPr>
      <w:r>
        <w:rPr>
          <w:lang w:val="kk-KZ"/>
        </w:rPr>
        <w:t>Кестедегі қасиеттер бірін-бірі толықтырады. Дәл әрі толық хабарлама кеш берілсе, уақытылы шешім қабылдауға көмектеспейді. Өзекті, бірақ тексерілмеген хабарлама жалған қорытындыға әкелуі мүмкін. Сондықтан ақпараттың сапасын бір ғана белгімен бағалау жеткіліксіз. Әр қасиет тапсырманың жағдайына қарай талданады, ал маңызды кемшілік анықталса, қосымша тексеру жүргізіледі.</w:t>
      </w:r>
    </w:p>
    <w:p>
      <w:pPr>
        <w:pStyle w:val="1"/>
      </w:pPr>
      <w:r>
        <w:t>3 Ақпараттық процестер және сапаны сақтау</w:t>
      </w:r>
    </w:p>
    <w:p>
      <w:pPr>
        <w:pStyle w:val="af"/>
        <w:spacing w:line="276" w:lineRule="auto" w:after="120"/>
        <w:ind w:firstLine="720"/>
        <w:jc w:val="both"/>
      </w:pPr>
      <w:r>
        <w:rPr>
          <w:lang w:val="kk-KZ"/>
        </w:rPr>
        <w:t>Ақпараттық процестерге іздеу, жинау, сақтау, өңдеу, тарату және қорғау жатады. Информатика оқулығында ақпарат көлемі мен оны компьютерде ұсыну мәселелері оқу мазмұнының негізгі бөліктерінің бірі ретінде қарастырылады [1]. Осы процестердің әрқайсысында бастапқы мағына бұзылуы мүмкін. Мәселен, сауалнамадағы сұрақ түсініксіз болса, жинау кезеңінде-ақ нәтиже қате болады. Кейінгі есептеудің дұрыстығы бұл бастапқы қатені жоймайды.</w:t>
      </w:r>
    </w:p>
    <w:p>
      <w:pPr>
        <w:pStyle w:val="af"/>
        <w:spacing w:line="276" w:lineRule="auto" w:after="120"/>
        <w:ind w:firstLine="720"/>
        <w:jc w:val="both"/>
      </w:pPr>
      <w:r>
        <w:rPr>
          <w:lang w:val="kk-KZ"/>
        </w:rPr>
        <w:t>Іздеу кезінде нақты сұрақ пен іріктеу шарты белгіленеді. Жинау кезінде деректің алынған орны, уақыты және тәсілі тіркеледі. Сақтау кезеңінде файлдың атауы, нұсқасы және құрылымы реттеледі. Өңдеу кезінде қолданылған ереже ашық жазылады. Тарату кезінде ақпаратты кімге және қандай мақсатпен беру қажет екені анықталады. Қорғау кезінде өзгертуге, жоғалтуға немесе рұқсатсыз көруге жол бермеу шаралары қарастырылады.</w:t>
      </w:r>
    </w:p>
    <w:p>
      <w:pPr>
        <w:pStyle w:val="af"/>
        <w:spacing w:line="276" w:lineRule="auto" w:after="120"/>
        <w:ind w:firstLine="720"/>
        <w:jc w:val="both"/>
      </w:pPr>
      <w:r>
        <w:rPr>
          <w:lang w:val="kk-KZ"/>
        </w:rPr>
        <w:t>Мысалы, оқу нәтижесін талдауға арналған кестеде бос ұяшықты нөл деп қабылдау есепті бұрмалауы мүмкін. Бос ұяшық «мәлімет жоқ» дегенді, ал нөл «нәтиже тіркелген, бірақ ұпай берілмеген» дегенді білдіруі мүмкін. Сондықтан орташа ұпайды есептеуден бұрын осы белгілеулердің мәнін анықтау қажет. Бұл мысал дерек пішімі мен мағыналық түсіндірудің бірлесіп жұмыс істейтінін көрсетеді.</w:t>
      </w:r>
    </w:p>
    <w:p>
      <w:pPr>
        <w:pStyle w:val="af"/>
        <w:spacing w:line="276" w:lineRule="auto" w:after="120"/>
        <w:ind w:firstLine="720"/>
        <w:jc w:val="both"/>
      </w:pPr>
      <w:r>
        <w:rPr>
          <w:lang w:val="kk-KZ"/>
        </w:rPr>
        <w:t>Сапаны сақтау үшін бастапқы дерек пен өңделген нәтижені ажыратқан дұрыс. Алғашқы файл өзгеріссіз сақталса, қате табылған кезде қайта есептеуге мүмкіндік бар. Өзгерістердің қысқаша журналы қай нұсқаға сүйенгенін көрсетеді. Деректерді қорғау да сапа мәселесімен байланысты: рұқсатсыз өзгертілген жазбаға сену қиын. Сонымен бірге ашық жарияланымда тек қажетті ақпарат беріліп, жеке мәліметтің мақсатсыз таратылуына жол берілмейді.</w:t>
      </w:r>
    </w:p>
    <w:p>
      <w:pPr>
        <w:pStyle w:val="1"/>
      </w:pPr>
      <w:r>
        <w:t>4 Ақпаратты сандық өлшеу және оның шегі</w:t>
      </w:r>
    </w:p>
    <w:p>
      <w:pPr>
        <w:pStyle w:val="af"/>
        <w:spacing w:line="276" w:lineRule="auto" w:after="120"/>
        <w:ind w:firstLine="720"/>
        <w:jc w:val="both"/>
      </w:pPr>
      <w:r>
        <w:rPr>
          <w:lang w:val="kk-KZ"/>
        </w:rPr>
        <w:t>Бит екі мүмкін мәннің бірін ажыратуға мүмкіндік беретін ақпарат бірлігі ретінде қолданылады. Байт сегіз биттен тұрады. Файл көлемі оның компьютерде қанша орын алатынын көрсетеді. Қазіргі белгілеуде ондық килобайт 1000 байтқа, ал екілік кибибайт 1024 байтқа тең; NIST екілік еселіктерді бөлек атаулармен белгілейді [3]. Мұндай ажырату бір шаманы әртүрлі жүйеде түсіндіру кезінде қате жібермеуге көмектеседі.</w:t>
      </w:r>
    </w:p>
    <w:p>
      <w:pPr>
        <w:pStyle w:val="af"/>
        <w:spacing w:line="276" w:lineRule="auto" w:after="120"/>
        <w:ind w:firstLine="720"/>
        <w:jc w:val="both"/>
      </w:pPr>
      <w:r>
        <w:rPr>
          <w:lang w:val="kk-KZ"/>
        </w:rPr>
        <w:t>Шеннонның ақпарат теориясында хабарламаны беру және ықтималдық арқылы белгісіздікті сипаттау мәселесі қарастырылады [2]. Бұл тәсіл хабарламаның адам үшін пайдалы мағынасын тікелей бағаламайды. Сондықтан көлемі үлкен файл міндетті түрде құнды ақпарат емес. Бір беттегі нақты емтихан кестесі жүздеген бет қайталанған мәтіннен пайдалы болуы мүмкін. Сандық өлшем сақтау мен тасымалдауға қажет, ал мазмұнды бағалау бөлек талдауды талап етеді.</w:t>
      </w:r>
    </w:p>
    <w:p>
      <w:pPr>
        <w:pStyle w:val="af"/>
        <w:spacing w:line="276" w:lineRule="auto" w:after="120"/>
        <w:ind w:firstLine="720"/>
        <w:jc w:val="both"/>
      </w:pPr>
      <w:r>
        <w:rPr>
          <w:lang w:val="kk-KZ"/>
        </w:rPr>
        <w:t>Қарапайым мысалда таңдаудың сегіз тең ықтималды нұсқасы бар делік. Олардың біреуін анықтауға қажет ақпарат мөлшері логарифмдік өлшеммен үш бит болады. Төмендегі қатынаста N — тең ықтималды нұсқалар саны, I — ақпарат мөлшері. Бұл есепте барлық нұсқаның ықтималдығы бірдей екені маңызды; шарт өзгерсе, осы қысқа формуланы механикалық қолдануға болмайды.</w:t>
      </w:r>
    </w:p>
    <w:p>
      <w:pPr>
        <w:spacing w:before="100" w:after="140"/>
        <w:jc w:val="center"/>
      </w:pPr>
      <m:oMathPara>
        <m:oMathParaPr>
          <m:jc m:val="center"/>
        </m:oMathParaPr>
        <m:oMath>
          <m:r>
            <m:rPr>
              <m:sty m:val="i"/>
            </m:rPr>
            <w:rPr>
              <w:rFonts w:ascii="Cambria Math" w:hAnsi="Cambria Math"/>
              <w:sz w:val="28"/>
            </w:rPr>
            <m:t>I</m:t>
          </m:r>
          <m:r>
            <m:rPr>
              <m:sty m:val="i"/>
            </m:rPr>
            <w:rPr>
              <w:rFonts w:ascii="Cambria Math" w:hAnsi="Cambria Math"/>
              <w:sz w:val="28"/>
            </w:rPr>
            <m:t>=</m:t>
          </m:r>
          <m:sSub>
            <m:e>
              <m:box>
                <m:e>
                  <m:r>
                    <m:rPr>
                      <m:sty m:val="p"/>
                    </m:rPr>
                    <w:rPr>
                      <w:rFonts w:ascii="Cambria Math" w:hAnsi="Cambria Math"/>
                      <w:sz w:val="28"/>
                    </w:rPr>
                    <m:t>l</m:t>
                  </m:r>
                  <m:r>
                    <m:rPr>
                      <m:sty m:val="p"/>
                    </m:rPr>
                    <w:rPr>
                      <w:rFonts w:ascii="Cambria Math" w:hAnsi="Cambria Math"/>
                      <w:sz w:val="28"/>
                    </w:rPr>
                    <m:t>o</m:t>
                  </m:r>
                  <m:r>
                    <m:rPr>
                      <m:sty m:val="p"/>
                    </m:rPr>
                    <w:rPr>
                      <w:rFonts w:ascii="Cambria Math" w:hAnsi="Cambria Math"/>
                      <w:sz w:val="28"/>
                    </w:rPr>
                    <m:t>g</m:t>
                  </m:r>
                </m:e>
              </m:box>
            </m:e>
            <m:sub>
              <m:r>
                <m:rPr>
                  <m:sty m:val="i"/>
                </m:rPr>
                <w:rPr>
                  <w:rFonts w:ascii="Cambria Math" w:hAnsi="Cambria Math"/>
                  <w:sz w:val="28"/>
                </w:rPr>
                <m:t>2</m:t>
              </m:r>
            </m:sub>
          </m:sSub>
          <m:r>
            <m:rPr>
              <m:sty m:val="i"/>
            </m:rPr>
            <w:rPr>
              <w:rFonts w:ascii="Cambria Math" w:hAnsi="Cambria Math"/>
              <w:sz w:val="28"/>
            </w:rPr>
            <m:t xml:space="preserve"> </m:t>
          </m:r>
          <m:r>
            <m:rPr>
              <m:sty m:val="i"/>
            </m:rPr>
            <w:rPr>
              <w:rFonts w:ascii="Cambria Math" w:hAnsi="Cambria Math"/>
              <w:sz w:val="28"/>
            </w:rPr>
            <m:t>N</m:t>
          </m:r>
          <m:r>
            <m:rPr>
              <m:sty m:val="i"/>
            </m:rPr>
            <w:rPr>
              <w:rFonts w:ascii="Cambria Math" w:hAnsi="Cambria Math"/>
              <w:sz w:val="28"/>
            </w:rPr>
            <m:t>=</m:t>
          </m:r>
          <m:sSub>
            <m:e>
              <m:box>
                <m:e>
                  <m:r>
                    <m:rPr>
                      <m:sty m:val="p"/>
                    </m:rPr>
                    <w:rPr>
                      <w:rFonts w:ascii="Cambria Math" w:hAnsi="Cambria Math"/>
                      <w:sz w:val="28"/>
                    </w:rPr>
                    <m:t>l</m:t>
                  </m:r>
                  <m:r>
                    <m:rPr>
                      <m:sty m:val="p"/>
                    </m:rPr>
                    <w:rPr>
                      <w:rFonts w:ascii="Cambria Math" w:hAnsi="Cambria Math"/>
                      <w:sz w:val="28"/>
                    </w:rPr>
                    <m:t>o</m:t>
                  </m:r>
                  <m:r>
                    <m:rPr>
                      <m:sty m:val="p"/>
                    </m:rPr>
                    <w:rPr>
                      <w:rFonts w:ascii="Cambria Math" w:hAnsi="Cambria Math"/>
                      <w:sz w:val="28"/>
                    </w:rPr>
                    <m:t>g</m:t>
                  </m:r>
                </m:e>
              </m:box>
            </m:e>
            <m:sub>
              <m:r>
                <m:rPr>
                  <m:sty m:val="i"/>
                </m:rPr>
                <w:rPr>
                  <w:rFonts w:ascii="Cambria Math" w:hAnsi="Cambria Math"/>
                  <w:sz w:val="28"/>
                </w:rPr>
                <m:t>2</m:t>
              </m:r>
            </m:sub>
          </m:sSub>
          <m:r>
            <m:rPr>
              <m:sty m:val="i"/>
            </m:rPr>
            <w:rPr>
              <w:rFonts w:ascii="Cambria Math" w:hAnsi="Cambria Math"/>
              <w:sz w:val="28"/>
            </w:rPr>
            <m:t xml:space="preserve"> </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3</m:t>
          </m:r>
          <m:r>
            <m:rPr>
              <m:sty m:val="p"/>
            </m:rPr>
            <w:rPr>
              <w:rFonts w:ascii="Cambria Math" w:hAnsi="Cambria Math"/>
              <w:sz w:val="28"/>
            </w:rPr>
            <m:t xml:space="preserve">  </m:t>
          </m:r>
          <m:box>
            <m:e>
              <m:r>
                <m:rPr>
                  <m:sty m:val="p"/>
                </m:rPr>
                <w:rPr>
                  <w:rFonts w:ascii="Cambria Math" w:hAnsi="Cambria Math"/>
                  <w:sz w:val="28"/>
                </w:rPr>
                <m:t>б</m:t>
              </m:r>
              <m:r>
                <m:rPr>
                  <m:sty m:val="p"/>
                </m:rPr>
                <w:rPr>
                  <w:rFonts w:ascii="Cambria Math" w:hAnsi="Cambria Math"/>
                  <w:sz w:val="28"/>
                </w:rPr>
                <m:t>и</m:t>
              </m:r>
              <m:r>
                <m:rPr>
                  <m:sty m:val="p"/>
                </m:rPr>
                <w:rPr>
                  <w:rFonts w:ascii="Cambria Math" w:hAnsi="Cambria Math"/>
                  <w:sz w:val="28"/>
                </w:rPr>
                <m:t>т</m:t>
              </m:r>
            </m:e>
          </m:box>
        </m:oMath>
      </m:oMathPara>
    </w:p>
    <w:p>
      <w:pPr>
        <w:pStyle w:val="af"/>
        <w:spacing w:line="276" w:lineRule="auto" w:after="120"/>
        <w:ind w:firstLine="720"/>
        <w:jc w:val="both"/>
      </w:pPr>
      <w:r>
        <w:rPr>
          <w:lang w:val="kk-KZ"/>
        </w:rPr>
        <w:t>Осы үш бит нұсқаны ажыратуға жеткілікті болғанымен, шешімнің дұрыстығын дәлелдемейді. Егер нұсқалар қате белгіленсе немесе пайдаланушыға түсініксіз болса, хабарламаның техникалық көлемі аз болуы оның сапасын қамтамасыз етпейді. Бұл сандық ақпарат өлшемі мен сенімділік, түсініктілік, құндылық сияқты қасиеттердің әртүрлі сұраққа жауап беретінін көрсетеді.</w:t>
      </w:r>
    </w:p>
    <w:p>
      <w:pPr>
        <w:pStyle w:val="1"/>
      </w:pPr>
      <w:r>
        <w:t>5 Білім беруде ақпаратты бағалау</w:t>
      </w:r>
    </w:p>
    <w:p>
      <w:pPr>
        <w:pStyle w:val="af"/>
        <w:spacing w:line="276" w:lineRule="auto" w:after="120"/>
        <w:ind w:firstLine="720"/>
        <w:jc w:val="both"/>
      </w:pPr>
      <w:r>
        <w:rPr>
          <w:lang w:val="kk-KZ"/>
        </w:rPr>
        <w:t>Медиалық және ақпараттық сауаттылық деректі іздеп табумен қатар оны сын тұрғысынан қарастыруды қамтиды. UNESCO ақпаратпен саналы жұмыс істеу және цифрлық ортада бағдарлану дағдыларын осы бағыттың маңызды міндеті ретінде көрсетеді [4]. Оқу жағдайында бұл ұстанымды нақты әрекетке айналдыруға болады: хабарламаның авторын, бастапқы негізін, уақытын және дәлелін тексеру; тұжырым мен пікірді бөлу; нәтижені өз сөзімен түсіндіру.</w:t>
      </w:r>
    </w:p>
    <w:p>
      <w:pPr>
        <w:pStyle w:val="af"/>
        <w:spacing w:line="276" w:lineRule="auto" w:after="120"/>
        <w:ind w:firstLine="720"/>
        <w:jc w:val="both"/>
      </w:pPr>
      <w:r>
        <w:rPr>
          <w:lang w:val="kk-KZ"/>
        </w:rPr>
        <w:t>Шартты жағдай: студенттер тобына емтиханның келесі күнге ауыстырылғаны туралы сурет жіберілді. Суретте пән атауы бар, бірақ күні мен жариялаушысы көрінбейді. Хабарламаны бірден тарату орнына бастапқы ресми жарияланымды табу керек. Оның оқу тобына қатыстылығы, соңғы жаңартылуы және жаңа уақыты салыстырылады. Растау табылмаса, «емтихан ауысты» деген кесімді қорытынды жасалмайды. Мұнда сенімділік, толықтық және өзектілік қатар тексеріледі.</w:t>
      </w:r>
    </w:p>
    <w:p>
      <w:pPr>
        <w:pStyle w:val="af"/>
        <w:spacing w:line="276" w:lineRule="auto" w:after="120"/>
        <w:ind w:firstLine="720"/>
        <w:jc w:val="both"/>
      </w:pPr>
      <w:r>
        <w:rPr>
          <w:lang w:val="kk-KZ"/>
        </w:rPr>
        <w:t>Бұл жағдайды бағалау тапсырмасы ретінде пайдаланғанда тек соңғы жауапқа ұпай беру жеткіліксіз. Студенттің қай дерекке сүйенгенін, неге оны жарамды деп санағанын және күмәнді тұсын қалай анықтағанын қарастыру қажет. Мысалы, дұрыс жауап кездейсоқ болжам арқылы алынуы мүмкін, ал негізделген тексеру дағдысы келесі тапсырмаға да көшіріледі. Дамытушы кері байланыс нақты әрекетті көрсетеді: «жарияланған күнін тексер», «тәуелсіз растауды тап», «өлшем бірлігін жаз».</w:t>
      </w:r>
    </w:p>
    <w:p>
      <w:pPr>
        <w:pStyle w:val="af"/>
        <w:spacing w:line="276" w:lineRule="auto" w:after="120"/>
        <w:ind w:firstLine="720"/>
        <w:jc w:val="both"/>
      </w:pPr>
      <w:r>
        <w:rPr>
          <w:lang w:val="kk-KZ"/>
        </w:rPr>
        <w:t>Ақпаратты бағалаудың жұмыс тәртібі сұрақты анықтаудан басталып, дереккөзді таңдаумен жалғасады. Одан кейін мазмұн, уақыт және дәлел салыстырылады. Кемшіліктер белгіленіп, қажет жағдайда қосымша мәлімет алынады. Соңында қорытындының қандай дерекке сүйенгені және оның шектеуі көрсетіледі. Осы тәртіп студенттің тек дайын мәліметті қабылдауын емес, оның сапасын негіздеп бағалауын қалыптастырады.</w:t>
      </w:r>
    </w:p>
    <w:p>
      <w:pPr>
        <w:pStyle w:val="1"/>
      </w:pPr>
      <w:r>
        <w:t>Қорытынды</w:t>
      </w:r>
    </w:p>
    <w:p>
      <w:pPr>
        <w:pStyle w:val="af"/>
        <w:keepLines/>
        <w:spacing w:line="276" w:lineRule="auto" w:after="120"/>
        <w:ind w:firstLine="720"/>
        <w:jc w:val="both"/>
      </w:pPr>
      <w:r>
        <w:rPr>
          <w:lang w:val="kk-KZ"/>
        </w:rPr>
        <w:t>Ақпарат деректің белгілі бір жағдайда түсіндіріліп, сұраққа жауап беруі арқылы мәнге ие болады. Оның сапасы сенімділік, дәлдік, толықтық, өзектілік, түсініктілік және құндылық қасиеттерінің өзара байланысына тәуелді. Әр қасиет жеке тексерілсе де, практикалық шешімде олар бірге қарастырылады. Ақпараттық процестің бір кезеңіндегі қате келесі нәтижеге көшетіндіктен, жинау мен өңдеу ережесін ашық көрсету маңызды.</w:t>
      </w:r>
    </w:p>
    <w:p>
      <w:pPr>
        <w:pStyle w:val="af"/>
        <w:spacing w:line="276" w:lineRule="auto" w:after="120"/>
        <w:ind w:firstLine="720"/>
        <w:jc w:val="both"/>
      </w:pPr>
      <w:r>
        <w:rPr>
          <w:lang w:val="kk-KZ"/>
        </w:rPr>
        <w:t>Сандық көлем сақтау мен тасымалдау міндеттерін шешуге көмектеседі, бірақ хабарламаның мағынасын немесе оқу үшін пайдасын толық өлшемейді. Білім беру барысында ақпаратпен жұмыс істеуді дамыту үшін студент дереккөзді салыстырып, дәлелді түсіндіріп, күмән мен шектеуді көрсете алуы қажет. Осындай әрекеттер бағалауды жауаптың дұрыстығын белгілеуден саналы ойлау мен дербес шешім қабылдауды дамытуға бағыттайды.</w:t>
      </w:r>
    </w:p>
    <w:p>
      <w:pPr>
        <w:pStyle w:val="1"/>
      </w:pPr>
      <w:r>
        <w:t>Пайдаланылған әдебиеттер</w:t>
      </w:r>
    </w:p>
    <w:p>
      <w:pPr>
        <w:spacing w:after="120"/>
        <w:jc w:val="left"/>
      </w:pPr>
      <w:r>
        <w:rPr>
          <w:sz w:val="22"/>
        </w:rPr>
        <w:t>1. Мұхамбетжанова С. Т., Тен А. С., Демидова Л. Г. Информатика: жалпы білім беретін мектептің 7-сыныбына арналған оқулық. Алматы: Атамұра, 2021. 208 б. Электрондық басылым: https://free.atamura.kz/?mbdb_book=940</w:t>
      </w:r>
    </w:p>
    <w:p>
      <w:pPr>
        <w:spacing w:after="120"/>
        <w:jc w:val="left"/>
      </w:pPr>
      <w:r>
        <w:rPr>
          <w:sz w:val="22"/>
        </w:rPr>
        <w:t>2. Shannon C. E. A Mathematical Theory of Communication. The Bell System Technical Journal. 1948. Vol. 27. P. 379–423, 623–656. Түзетілген көшірме: https://people.math.harvard.edu/~ctm/home/text/others/shannon/entropy/entropy.pdf</w:t>
      </w:r>
    </w:p>
    <w:p>
      <w:pPr>
        <w:spacing w:after="120"/>
        <w:jc w:val="left"/>
      </w:pPr>
      <w:r>
        <w:rPr>
          <w:sz w:val="22"/>
        </w:rPr>
        <w:t>3. NIST. Definitions of the SI units: The binary prefixes. URL: https://physics.nist.gov/cuu/Units/binary.html</w:t>
      </w:r>
    </w:p>
    <w:p>
      <w:pPr>
        <w:spacing w:after="120"/>
        <w:jc w:val="left"/>
      </w:pPr>
      <w:r>
        <w:rPr>
          <w:sz w:val="22"/>
        </w:rPr>
        <w:t>4. UNESCO. Media and Information Literacy. URL: https://www.unesco.org/en/media-information-literacy</w:t>
      </w:r>
    </w:p>
    <w:p>
      <w:pPr>
        <w:spacing w:after="120"/>
        <w:jc w:val="left"/>
      </w:pPr>
      <w:r>
        <w:rPr>
          <w:sz w:val="22"/>
        </w:rPr>
        <w:t>Электрондық дереккөздер қаралған күн: 08.10.2026.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Ақпарат және оның қасиеттері</dc:title>
  <dc:subject>Бағалау және Дамыту — реферат</dc:subject>
  <dc:creator>Жомарт А.</dc:creator>
  <cp:keywords/>
  <dc:description/>
  <cp:lastModifiedBy>Жомарт А.</cp:lastModifiedBy>
  <cp:revision>3</cp:revision>
  <dcterms:created xsi:type="dcterms:W3CDTF">2026-10-02T15:54:00Z</dcterms:created>
  <dcterms:modified xsi:type="dcterms:W3CDTF">2026-10-02T16:26:00Z</dcterms:modified>
  <cp:category/>
</cp:coreProperties>
</file>