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РЕФЕРАТ</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Бағалау және Дамыту</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Ақпаратты кодтау</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Кумекбай И.Б.</w:t>
        <w:br/>
        <w:t>Тексерген: Тойшыбек Т.Т.</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Кіріспе</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Кодтау және екілік ұсыну</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Сандарды кодтау</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Мәтінді кодтау және қазақ әліпбиі</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4 Кескін мен дыбысты сандық ұсыну</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5 Қысу шифрлау және қатені анықтау</w:t>
            <w:tab/>
            <w:t>7</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7</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8</w:t>
          </w:r>
        </w:p>
      </w:sdtContent>
    </w:sdt>
    <w:p>
      <w:pPr>
        <w:pStyle w:val="1"/>
        <w:pageBreakBefore/>
      </w:pPr>
      <w:r>
        <w:t>Кіріспе</w:t>
      </w:r>
    </w:p>
    <w:p>
      <w:pPr>
        <w:pStyle w:val="af"/>
        <w:spacing w:line="276" w:lineRule="auto" w:after="120"/>
        <w:ind w:firstLine="720"/>
        <w:jc w:val="both"/>
      </w:pPr>
      <w:r>
        <w:rPr>
          <w:lang w:val="kk-KZ"/>
        </w:rPr>
        <w:t>Компьютер мәтінді, кескінді және дыбысты адам сияқты тікелей қабылдамайды. Бұл мәліметтер белгілі ережемен сандар мен биттер тізбегіне түрлендіріліп, содан кейін сақталады және өңделеді. Бірдей сыртқы көрінісі бар материал әртүрлі кодтау тәсілімен ұсынылуы мүмкін. Сондықтан файлды дұрыс ашу үшін оның мазмұнын ғана емес, қолданылған кодтау ережесін де түсіну қажет.</w:t>
      </w:r>
    </w:p>
    <w:p>
      <w:pPr>
        <w:pStyle w:val="af"/>
        <w:spacing w:line="276" w:lineRule="auto" w:after="120"/>
        <w:ind w:firstLine="720"/>
        <w:jc w:val="both"/>
      </w:pPr>
      <w:r>
        <w:rPr>
          <w:lang w:val="kk-KZ"/>
        </w:rPr>
        <w:t>Рефераттың мақсаты — ақпаратты кодтаудың негіздерін түсіндіріп, сандық, мәтіндік және мультимедиалық деректерді ұсыну тәсілдерін талдау. Жұмыста екілік жүйе, бит пен байттың байланысы, Unicode және UTF-8, кескін мен дыбыстың сандық сипаттамалары қарастырылады. Нақты есептер кодтау параметрлерінің көлемге қалай әсер ететінін көрсетеді. Қысу, шифрлау және қатені анықтау кодтарының мақсаттары да ажыратылады.</w:t>
      </w:r>
    </w:p>
    <w:p>
      <w:pPr>
        <w:pStyle w:val="1"/>
      </w:pPr>
      <w:r>
        <w:t>1 Кодтау және екілік ұсыну</w:t>
      </w:r>
    </w:p>
    <w:p>
      <w:pPr>
        <w:pStyle w:val="21"/>
      </w:pPr>
      <w:r>
        <w:t>1.1 Код пен кодтау ережесі</w:t>
      </w:r>
    </w:p>
    <w:p>
      <w:pPr>
        <w:pStyle w:val="af"/>
        <w:spacing w:line="276" w:lineRule="auto" w:after="120"/>
        <w:ind w:firstLine="720"/>
        <w:jc w:val="both"/>
      </w:pPr>
      <w:r>
        <w:rPr>
          <w:lang w:val="kk-KZ"/>
        </w:rPr>
        <w:t>Кодтау — бастапқы ақпаратты келісілген ереже бойынша басқа таңбалар жүйесіне түрлендіру. Код бастапқы элемент пен оның белгіленуінің сәйкестігін анықтайды. Декодтау осы сәйкестікті пайдаланып, берілген тізбектің мағынасын қалпына келтіреді. Мысалы, нөл мен бір тек екі белгі ретінде көрінеді; олардың санды, әріпті не түсті білдіруі қабылданған ережеге тәуелді. Ереже белгісіз болса, биттер тізбегі өздігінен түсінікті хабарламаға айналмайды.</w:t>
      </w:r>
    </w:p>
    <w:p>
      <w:pPr>
        <w:pStyle w:val="af"/>
        <w:spacing w:line="276" w:lineRule="auto" w:after="120"/>
        <w:ind w:firstLine="720"/>
        <w:jc w:val="both"/>
      </w:pPr>
      <w:r>
        <w:rPr>
          <w:lang w:val="kk-KZ"/>
        </w:rPr>
        <w:t>Бір мәнді декодталу кодтаудың маңызды шарты болып саналады. Егер әртүрлі бастапқы элементке бірдей код берілсе және оларды ажырататын қосымша шарт болмаса, бастапқы мазмұнды дәл қалпына келтіру мүмкін емес. Тұрақты ұзындықтағы кодта әр элементке бірдей бит саны беріледі. Айнымалы ұзындықтағы кодта элементтердің ұзындығы әртүрлі болады, сондықтан олардың шекарасын ажырату ережесі қажет.</w:t>
      </w:r>
    </w:p>
    <w:p>
      <w:pPr>
        <w:pStyle w:val="af"/>
        <w:spacing w:line="276" w:lineRule="auto" w:after="120"/>
        <w:ind w:firstLine="720"/>
        <w:jc w:val="both"/>
      </w:pPr>
      <w:r>
        <w:rPr>
          <w:lang w:val="kk-KZ"/>
        </w:rPr>
        <w:t>Компьютерде екілік ұсынудың қолданылуы электрондық тізбектердегі ажыратылатын күймен байланысты. Логикалық нөл мен бір нақты құрылғыда әртүрлі кернеу деңгейі арқылы берілуі мүмкін. Алайда логикалық мәнді тек «ток жоқ» және «ток бар» деп түсіндіру барлық құрылғыға ортақ дәл сипаттама емес. Бағдарлама үшін негізгісі — физикалық сигналдың нақты екі мәнге сәйкес сенімді ажыратылуы.</w:t>
      </w:r>
    </w:p>
    <w:p>
      <w:pPr>
        <w:pStyle w:val="21"/>
      </w:pPr>
      <w:r>
        <w:t>1.2 Бит байт және код сыйымдылығы</w:t>
      </w:r>
    </w:p>
    <w:p>
      <w:pPr>
        <w:pStyle w:val="af"/>
        <w:spacing w:line="276" w:lineRule="auto" w:after="120"/>
        <w:ind w:firstLine="720"/>
        <w:jc w:val="both"/>
      </w:pPr>
      <w:r>
        <w:rPr>
          <w:lang w:val="kk-KZ"/>
        </w:rPr>
        <w:t>Бір бит нөл немесе бір мәнін қабылдайды. Сегіз бит бір байтты құрайды. Егер кодта n бит пайдаланылса, ықтимал әртүрлі комбинациялар саны екі санының n дәрежесіне тең болады. Мұнда барлық комбинацияның пайдаланылуы міндетті емес: олардың бір бөлігі қызметтік белгіге немесе жарамсыз күйге бөлінуі мүмкін. Осы айырмашылық кодтың теориялық сыйымдылығы мен нақты қолданылуын ажыратуға көмектеседі.</w:t>
      </w:r>
    </w:p>
    <w:p>
      <w:pPr>
        <w:spacing w:before="100" w:after="140"/>
        <w:jc w:val="center"/>
      </w:pPr>
      <m:oMathPara>
        <m:oMathParaPr>
          <m:jc m:val="center"/>
        </m:oMathParaPr>
        <m:oMath>
          <m:r>
            <m:rPr>
              <m:sty m:val="i"/>
            </m:rPr>
            <w:rPr>
              <w:rFonts w:ascii="Cambria Math" w:hAnsi="Cambria Math"/>
              <w:sz w:val="28"/>
            </w:rPr>
            <m:t>N</m:t>
          </m:r>
          <m:r>
            <m:rPr>
              <m:sty m:val="i"/>
            </m:rPr>
            <w:rPr>
              <w:rFonts w:ascii="Cambria Math" w:hAnsi="Cambria Math"/>
              <w:sz w:val="28"/>
            </w:rPr>
            <m:t>=</m:t>
          </m:r>
          <m:sSup>
            <m:e>
              <m:r>
                <m:rPr>
                  <m:sty m:val="i"/>
                </m:rPr>
                <w:rPr>
                  <w:rFonts w:ascii="Cambria Math" w:hAnsi="Cambria Math"/>
                  <w:sz w:val="28"/>
                </w:rPr>
                <m:t>2</m:t>
              </m:r>
            </m:e>
            <m:sup>
              <m:r>
                <m:rPr>
                  <m:sty m:val="i"/>
                </m:rPr>
                <w:rPr>
                  <w:rFonts w:ascii="Cambria Math" w:hAnsi="Cambria Math"/>
                  <w:sz w:val="28"/>
                </w:rPr>
                <m:t>n</m:t>
              </m:r>
            </m:sup>
          </m:sSup>
        </m:oMath>
      </m:oMathPara>
    </w:p>
    <w:p>
      <w:pPr>
        <w:pStyle w:val="af"/>
        <w:spacing w:line="276" w:lineRule="auto" w:after="120"/>
        <w:ind w:firstLine="720"/>
        <w:jc w:val="both"/>
      </w:pPr>
      <w:r>
        <w:rPr>
          <w:lang w:val="kk-KZ"/>
        </w:rPr>
        <w:t>Мысалы, бес бит 32 түрлі комбинацияны береді. Егер алфавитте 26 элемент болса, тұрақты ұзындықтағы код үшін төрт бит жеткіліксіз, себебі ол тек 16 комбинацияны береді. Бес бит жеткілікті болғанда пайдаланылмаған алты комбинация қалады. Бұл есепте тек алфавит элементтерінің коды қарастырылған; хабарламаның ұзындығы, бөлгіштері немесе файл тақырыбы қосымша көлемді қажет етуі мүмкін.</w:t>
      </w:r>
    </w:p>
    <w:p>
      <w:pPr>
        <w:pStyle w:val="af"/>
        <w:spacing w:line="276" w:lineRule="auto" w:after="120"/>
        <w:ind w:firstLine="720"/>
        <w:jc w:val="both"/>
      </w:pPr>
      <w:r>
        <w:rPr>
          <w:lang w:val="kk-KZ"/>
        </w:rPr>
        <w:t>Ақпарат көлемін жазғанда бірліктер нақты белгіленеді. Бір килобайттың ондық мәні 1000 байт, бір кибибайттың екілік мәні 1024 байт болады. NIST осы еселіктерді kB және KiB сияқты бөлек белгілермен көрсетеді [4]. Мектеп есептерінде «Кбайт» үшін 1024 байт шарты кездессе, есептің сол келісімі ашық жазылуы керек. Белгілеуді түсіндірмей, ондық және екілік шамаларды араластыру есептің нәтижесін өзгертеді.</w:t>
      </w:r>
    </w:p>
    <w:p>
      <w:pPr>
        <w:pStyle w:val="1"/>
      </w:pPr>
      <w:r>
        <w:t>2 Сандарды кодтау</w:t>
      </w:r>
    </w:p>
    <w:p>
      <w:pPr>
        <w:pStyle w:val="21"/>
      </w:pPr>
      <w:r>
        <w:t>2.1 Позициялық санау жүйесі</w:t>
      </w:r>
    </w:p>
    <w:p>
      <w:pPr>
        <w:pStyle w:val="af"/>
        <w:spacing w:line="276" w:lineRule="auto" w:after="120"/>
        <w:ind w:firstLine="720"/>
        <w:jc w:val="both"/>
      </w:pPr>
      <w:r>
        <w:rPr>
          <w:lang w:val="kk-KZ"/>
        </w:rPr>
        <w:t>Позициялық жүйеде цифрдың мәні оның орнына тәуелді. Ондық жүйеде разряд салмақтары 1, 10, 100 болып өседі; екілік жүйеде 1, 2, 4, 8, 16 сияқты екі санының дәрежелері қолданылады. Сондықтан 10110 екілік санының мәні әр разрядты оның салмағына көбейтіп, нәтижелерді қосу арқылы анықталады. Төменгі индекс жазылған жүйені көрсетеді.</w:t>
      </w:r>
    </w:p>
    <w:p>
      <w:pPr>
        <w:spacing w:before="100" w:after="140"/>
        <w:jc w:val="center"/>
      </w:pPr>
      <m:oMathPara>
        <m:oMathParaPr>
          <m:jc m:val="center"/>
        </m:oMathParaPr>
        <m:oMath>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1</m:t>
          </m:r>
          <m:r>
            <m:rPr>
              <m:sty m:val="i"/>
            </m:rPr>
            <w:rPr>
              <w:rFonts w:ascii="Cambria Math" w:hAnsi="Cambria Math"/>
              <w:sz w:val="28"/>
            </w:rPr>
            <m:t>1</m:t>
          </m:r>
          <m:r>
            <m:rPr>
              <m:sty m:val="i"/>
            </m:rPr>
            <w:rPr>
              <w:rFonts w:ascii="Cambria Math" w:hAnsi="Cambria Math"/>
              <w:sz w:val="28"/>
            </w:rPr>
            <m:t>0</m:t>
          </m:r>
          <m:sSub>
            <m:e>
              <m:r>
                <m:rPr>
                  <m:sty m:val="i"/>
                </m:rPr>
                <w:rPr>
                  <w:rFonts w:ascii="Cambria Math" w:hAnsi="Cambria Math"/>
                  <w:sz w:val="28"/>
                </w:rPr>
                <m:t>)</m:t>
              </m:r>
            </m:e>
            <m:sub>
              <m:r>
                <m:rPr>
                  <m:sty m:val="i"/>
                </m:rPr>
                <w:rPr>
                  <w:rFonts w:ascii="Cambria Math" w:hAnsi="Cambria Math"/>
                  <w:sz w:val="28"/>
                </w:rPr>
                <m:t>2</m:t>
              </m:r>
            </m:sub>
          </m:sSub>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m:t>
          </m:r>
          <m:sSup>
            <m:e>
              <m:r>
                <m:rPr>
                  <m:sty m:val="i"/>
                </m:rPr>
                <w:rPr>
                  <w:rFonts w:ascii="Cambria Math" w:hAnsi="Cambria Math"/>
                  <w:sz w:val="28"/>
                </w:rPr>
                <m:t>2</m:t>
              </m:r>
            </m:e>
            <m:sup>
              <m:r>
                <m:rPr>
                  <m:sty m:val="i"/>
                </m:rPr>
                <w:rPr>
                  <w:rFonts w:ascii="Cambria Math" w:hAnsi="Cambria Math"/>
                  <w:sz w:val="28"/>
                </w:rPr>
                <m:t>4</m:t>
              </m:r>
            </m:sup>
          </m:sSup>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sSup>
            <m:e>
              <m:r>
                <m:rPr>
                  <m:sty m:val="i"/>
                </m:rPr>
                <w:rPr>
                  <w:rFonts w:ascii="Cambria Math" w:hAnsi="Cambria Math"/>
                  <w:sz w:val="28"/>
                </w:rPr>
                <m:t>2</m:t>
              </m:r>
            </m:e>
            <m:sup>
              <m:r>
                <m:rPr>
                  <m:sty m:val="i"/>
                </m:rPr>
                <w:rPr>
                  <w:rFonts w:ascii="Cambria Math" w:hAnsi="Cambria Math"/>
                  <w:sz w:val="28"/>
                </w:rPr>
                <m:t>3</m:t>
              </m:r>
            </m:sup>
          </m:sSup>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m:t>
          </m:r>
          <m:sSup>
            <m:e>
              <m:r>
                <m:rPr>
                  <m:sty m:val="i"/>
                </m:rPr>
                <w:rPr>
                  <w:rFonts w:ascii="Cambria Math" w:hAnsi="Cambria Math"/>
                  <w:sz w:val="28"/>
                </w:rPr>
                <m:t>2</m:t>
              </m:r>
            </m:e>
            <m:sup>
              <m:r>
                <m:rPr>
                  <m:sty m:val="i"/>
                </m:rPr>
                <w:rPr>
                  <w:rFonts w:ascii="Cambria Math" w:hAnsi="Cambria Math"/>
                  <w:sz w:val="28"/>
                </w:rPr>
                <m:t>2</m:t>
              </m:r>
            </m:sup>
          </m:sSup>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m:t>
          </m:r>
          <m:sSup>
            <m:e>
              <m:r>
                <m:rPr>
                  <m:sty m:val="i"/>
                </m:rPr>
                <w:rPr>
                  <w:rFonts w:ascii="Cambria Math" w:hAnsi="Cambria Math"/>
                  <w:sz w:val="28"/>
                </w:rPr>
                <m:t>2</m:t>
              </m:r>
            </m:e>
            <m:sup>
              <m:r>
                <m:rPr>
                  <m:sty m:val="i"/>
                </m:rPr>
                <w:rPr>
                  <w:rFonts w:ascii="Cambria Math" w:hAnsi="Cambria Math"/>
                  <w:sz w:val="28"/>
                </w:rPr>
                <m:t>1</m:t>
              </m:r>
            </m:sup>
          </m:sSup>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sSup>
            <m:e>
              <m:r>
                <m:rPr>
                  <m:sty m:val="i"/>
                </m:rPr>
                <w:rPr>
                  <w:rFonts w:ascii="Cambria Math" w:hAnsi="Cambria Math"/>
                  <w:sz w:val="28"/>
                </w:rPr>
                <m:t>2</m:t>
              </m:r>
            </m:e>
            <m:sup>
              <m:r>
                <m:rPr>
                  <m:sty m:val="i"/>
                </m:rPr>
                <w:rPr>
                  <w:rFonts w:ascii="Cambria Math" w:hAnsi="Cambria Math"/>
                  <w:sz w:val="28"/>
                </w:rPr>
                <m:t>0</m:t>
              </m:r>
            </m:sup>
          </m:sSup>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2</m:t>
          </m:r>
        </m:oMath>
      </m:oMathPara>
    </w:p>
    <w:p>
      <w:pPr>
        <w:pStyle w:val="af"/>
        <w:spacing w:line="276" w:lineRule="auto" w:after="120"/>
        <w:ind w:firstLine="720"/>
        <w:jc w:val="both"/>
      </w:pPr>
      <w:r>
        <w:rPr>
          <w:lang w:val="kk-KZ"/>
        </w:rPr>
        <w:t>Ондық 22 санын екілік жүйеге аудару үшін оны екіге бөліп, әр қадамдағы қалдық тіркеледі. 22-ні бөлгенде бөлінді 11, қалдық 0; одан кейін 5 және 1; 2 және 1; 1 және 0; соңында 0 және 1 алынады. Қалдықтар соңғы қадамнан бастап оқылғанда 10110 шығады. Нәтижені разряд салмақтары арқылы қайта есептеу аударудың дұрыстығын тексереді.</w:t>
      </w:r>
    </w:p>
    <w:p>
      <w:pPr>
        <w:pStyle w:val="21"/>
      </w:pPr>
      <w:r>
        <w:t>2.2 Разряд саны мен ұсыну шектері</w:t>
      </w:r>
    </w:p>
    <w:p>
      <w:pPr>
        <w:pStyle w:val="af"/>
        <w:spacing w:line="276" w:lineRule="auto" w:after="120"/>
        <w:ind w:firstLine="720"/>
        <w:jc w:val="both"/>
      </w:pPr>
      <w:r>
        <w:rPr>
          <w:lang w:val="kk-KZ"/>
        </w:rPr>
        <w:t>Таңбасыз сегіз биттік бүтін сан 0-ден 255-ке дейінгі мәндерді ұсына алады. Бұл диапазон комбинациялар санының 256 болуынан шығады. Теріс сандарды ұсынғанда қосымша ереже, мысалы екілік толықтауыш қолданылады. Ондай жағдайда дәл сол сегіз бит басқа диапазонды білдіреді. Сондықтан байттың мәнін түсіндіру үшін биттермен қатар дерек түрі де белгілі болуы қажет.</w:t>
      </w:r>
    </w:p>
    <w:p>
      <w:pPr>
        <w:pStyle w:val="af"/>
        <w:spacing w:line="276" w:lineRule="auto" w:after="120"/>
        <w:ind w:firstLine="720"/>
        <w:jc w:val="both"/>
      </w:pPr>
      <w:r>
        <w:rPr>
          <w:lang w:val="kk-KZ"/>
        </w:rPr>
        <w:t>Нақты сандарды компьютерде ұсыну шектеулі разрядқа тәуелді. Ондық бөлшектің екілік жазбасы кейде шексіз жалғасады, сондықтан ол жуық мән ретінде сақталады. Мысалы, күнделікті қолданылатын ондық бөлшектерді есептегенде өте аз дөңгелектеу айырмасы байқалуы мүмкін. Мұны арифметиканың бұзылуы деп емес, сандық ұсынудың дәлдік шектеуі деп түсіну керек. Есепті салыстырғанда талап етілетін дәлдік алдын ала белгіленеді.</w:t>
      </w:r>
    </w:p>
    <w:p>
      <w:pPr>
        <w:pStyle w:val="af"/>
        <w:spacing w:line="276" w:lineRule="auto" w:after="120"/>
        <w:ind w:firstLine="720"/>
        <w:jc w:val="both"/>
      </w:pPr>
      <w:r>
        <w:rPr>
          <w:lang w:val="kk-KZ"/>
        </w:rPr>
        <w:t>Санау жүйесін түсіну бағдарламалаудағы дерек түрлерін дұрыс таңдауға негіз болады. Есептегі шаманың диапазоны сақталатын түрден асып кетсе, толып кету немесе қате өңдеу туындауы мүмкін. Оқу мысалында 300 деген бүтін санға таңбасыз бір байт жеткіліксіз. Сондықтан «сан компьютерде сақталады» деген жалпы тұжырым оның разрядын және ұсыну шартын түсіндірумен толықтырылуы тиіс.</w:t>
      </w:r>
    </w:p>
    <w:p>
      <w:pPr>
        <w:pStyle w:val="1"/>
      </w:pPr>
      <w:r>
        <w:t>3 Мәтінді кодтау және қазақ әліпбиі</w:t>
      </w:r>
    </w:p>
    <w:p>
      <w:pPr>
        <w:pStyle w:val="af"/>
        <w:spacing w:line="276" w:lineRule="auto" w:after="120"/>
        <w:ind w:firstLine="720"/>
        <w:jc w:val="both"/>
      </w:pPr>
      <w:r>
        <w:rPr>
          <w:lang w:val="kk-KZ"/>
        </w:rPr>
        <w:t>Мәтіндік кодтауда таңбаға сандық код тағайындалады, ал сол код сақтау үшін байттарға түрлендіріледі. ASCII негізгі нұсқасы 128 кодты қамтиды, сондықтан қазақ әліпбиінің барлық әрпін ұсына алмайды. Unicode әртүрлі жазу жүйелерінің таңбаларына ортақ кодтық нүктелерді анықтайды. UTF-8 осы кодтық нүктелерді байттар тізбегімен ұсынатын тәсілдердің бірі болып табылады [2; 3].</w:t>
      </w:r>
    </w:p>
    <w:p>
      <w:pPr>
        <w:pStyle w:val="af"/>
        <w:spacing w:line="276" w:lineRule="auto" w:after="120"/>
        <w:ind w:firstLine="720"/>
        <w:jc w:val="both"/>
      </w:pPr>
      <w:r>
        <w:rPr>
          <w:lang w:val="kk-KZ"/>
        </w:rPr>
        <w:t>Unicode таңбаның сыртқы пішінін бекітетін қаріп емес. Кодтық нүкте қандай таңба екенін көрсетеді, ал қаріп оны экранда бейнелейді. Сол себепті дұрыс кодталған мәтінде қажетті қаріп болмаған жағдайда таңба бос төртбұрыш түрінде көрінуі мүмкін. Керісінше, қаріп бар болғанымен, байттар басқа кодтау тәсілімен оқылса, мағынасыз таңбалар пайда болады. Екі ақаудың себебі және түзету тәсілі әртүрлі.</w:t>
      </w:r>
    </w:p>
    <w:p>
      <w:pPr>
        <w:pStyle w:val="af"/>
        <w:spacing w:line="276" w:lineRule="auto" w:after="120"/>
        <w:ind w:firstLine="720"/>
        <w:jc w:val="both"/>
      </w:pPr>
      <w:r>
        <w:rPr>
          <w:lang w:val="kk-KZ"/>
        </w:rPr>
        <w:t>UTF-8 бір кодтық нүктені бірден төрт байтқа дейінгі тізбекпен береді. ASCII ауқымындағы таңбалар бір байтпен сақталады; қазақ кириллицасының төменде көрсетілген әріптері екі байт алады. Мысалдардағы он алтылық жазба әр байттың мәнін ықшам көрсетеді. Бір ғана UTF-8 ережесінің ішінде таңбалардың көлемі әртүрлі болғандықтан, «бір таңба әрқашан бір байт» деген тұжырым дұрыс емес [2].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224"/>
        <w:gridCol w:w="2088"/>
        <w:gridCol w:w="4248"/>
        <w:gridCol w:w="1843"/>
      </w:tblGrid>
      <w:tr>
        <w:trPr>
          <w:tblHeader/>
          <w:cantSplit/>
        </w:trPr>
        <w:tc>
          <w:tcPr>
            <w:tcW w:type="dxa" w:w="1224"/>
            <w:vAlign w:val="center"/>
            <w:shd w:fill="EEEEEE"/>
          </w:tcPr>
          <w:p>
            <w:pPr>
              <w:spacing w:after="60" w:before="60" w:line="240" w:lineRule="auto"/>
            </w:pPr>
            <w:r>
              <w:rPr>
                <w:rFonts w:ascii="Times New Roman" w:hAnsi="Times New Roman"/>
                <w:b/>
                <w:sz w:val="22"/>
              </w:rPr>
              <w:t>Таңба</w:t>
            </w:r>
          </w:p>
        </w:tc>
        <w:tc>
          <w:tcPr>
            <w:tcW w:type="dxa" w:w="2088"/>
            <w:vAlign w:val="center"/>
            <w:shd w:fill="EEEEEE"/>
          </w:tcPr>
          <w:p>
            <w:pPr>
              <w:spacing w:after="60" w:before="60" w:line="240" w:lineRule="auto"/>
            </w:pPr>
            <w:r>
              <w:rPr>
                <w:rFonts w:ascii="Times New Roman" w:hAnsi="Times New Roman"/>
                <w:b/>
                <w:sz w:val="22"/>
              </w:rPr>
              <w:t>Unicode коды</w:t>
            </w:r>
          </w:p>
        </w:tc>
        <w:tc>
          <w:tcPr>
            <w:tcW w:type="dxa" w:w="4248"/>
            <w:vAlign w:val="center"/>
            <w:shd w:fill="EEEEEE"/>
          </w:tcPr>
          <w:p>
            <w:pPr>
              <w:spacing w:after="60" w:before="60" w:line="240" w:lineRule="auto"/>
            </w:pPr>
            <w:r>
              <w:rPr>
                <w:rFonts w:ascii="Times New Roman" w:hAnsi="Times New Roman"/>
                <w:b/>
                <w:sz w:val="22"/>
              </w:rPr>
              <w:t>UTF-8 байттары</w:t>
            </w:r>
          </w:p>
        </w:tc>
        <w:tc>
          <w:tcPr>
            <w:tcW w:type="dxa" w:w="1843"/>
            <w:vAlign w:val="center"/>
            <w:shd w:fill="EEEEEE"/>
          </w:tcPr>
          <w:p>
            <w:pPr>
              <w:spacing w:after="60" w:before="60" w:line="240" w:lineRule="auto"/>
            </w:pPr>
            <w:r>
              <w:rPr>
                <w:rFonts w:ascii="Times New Roman" w:hAnsi="Times New Roman"/>
                <w:b/>
                <w:sz w:val="22"/>
              </w:rPr>
              <w:t>Көлем</w:t>
            </w:r>
          </w:p>
        </w:tc>
      </w:tr>
      <w:tr>
        <w:trPr>
          <w:cantSplit/>
        </w:trPr>
        <w:tc>
          <w:tcPr>
            <w:tcW w:type="dxa" w:w="1224"/>
            <w:vAlign w:val="center"/>
          </w:tcPr>
          <w:p>
            <w:pPr>
              <w:spacing w:after="60" w:before="60" w:line="240" w:lineRule="auto"/>
            </w:pPr>
            <w:r>
              <w:rPr>
                <w:rFonts w:ascii="Times New Roman" w:hAnsi="Times New Roman"/>
                <w:b w:val="0"/>
                <w:sz w:val="22"/>
              </w:rPr>
              <w:t>A</w:t>
            </w:r>
          </w:p>
        </w:tc>
        <w:tc>
          <w:tcPr>
            <w:tcW w:type="dxa" w:w="2088"/>
            <w:vAlign w:val="center"/>
          </w:tcPr>
          <w:p>
            <w:pPr>
              <w:spacing w:after="60" w:before="60" w:line="240" w:lineRule="auto"/>
            </w:pPr>
            <w:r>
              <w:rPr>
                <w:rFonts w:ascii="Times New Roman" w:hAnsi="Times New Roman"/>
                <w:b w:val="0"/>
                <w:sz w:val="22"/>
              </w:rPr>
              <w:t>U+0041</w:t>
            </w:r>
          </w:p>
        </w:tc>
        <w:tc>
          <w:tcPr>
            <w:tcW w:type="dxa" w:w="4248"/>
            <w:vAlign w:val="center"/>
          </w:tcPr>
          <w:p>
            <w:pPr>
              <w:spacing w:after="60" w:before="60" w:line="240" w:lineRule="auto"/>
            </w:pPr>
            <w:r>
              <w:rPr>
                <w:rFonts w:ascii="Times New Roman" w:hAnsi="Times New Roman"/>
                <w:b w:val="0"/>
                <w:sz w:val="22"/>
              </w:rPr>
              <w:t>41</w:t>
            </w:r>
          </w:p>
        </w:tc>
        <w:tc>
          <w:tcPr>
            <w:tcW w:type="dxa" w:w="1843"/>
            <w:vAlign w:val="center"/>
          </w:tcPr>
          <w:p>
            <w:pPr>
              <w:spacing w:after="60" w:before="60" w:line="240" w:lineRule="auto"/>
            </w:pPr>
            <w:r>
              <w:rPr>
                <w:rFonts w:ascii="Times New Roman" w:hAnsi="Times New Roman"/>
                <w:b w:val="0"/>
                <w:sz w:val="22"/>
              </w:rPr>
              <w:t>1 байт</w:t>
            </w:r>
          </w:p>
        </w:tc>
      </w:tr>
      <w:tr>
        <w:trPr>
          <w:cantSplit/>
        </w:trPr>
        <w:tc>
          <w:tcPr>
            <w:tcW w:type="dxa" w:w="1224"/>
            <w:vAlign w:val="center"/>
          </w:tcPr>
          <w:p>
            <w:pPr>
              <w:spacing w:after="60" w:before="60" w:line="240" w:lineRule="auto"/>
            </w:pPr>
            <w:r>
              <w:rPr>
                <w:rFonts w:ascii="Times New Roman" w:hAnsi="Times New Roman"/>
                <w:b w:val="0"/>
                <w:sz w:val="22"/>
              </w:rPr>
              <w:t>Ә</w:t>
            </w:r>
          </w:p>
        </w:tc>
        <w:tc>
          <w:tcPr>
            <w:tcW w:type="dxa" w:w="2088"/>
            <w:vAlign w:val="center"/>
          </w:tcPr>
          <w:p>
            <w:pPr>
              <w:spacing w:after="60" w:before="60" w:line="240" w:lineRule="auto"/>
            </w:pPr>
            <w:r>
              <w:rPr>
                <w:rFonts w:ascii="Times New Roman" w:hAnsi="Times New Roman"/>
                <w:b w:val="0"/>
                <w:sz w:val="22"/>
              </w:rPr>
              <w:t>U+04D8</w:t>
            </w:r>
          </w:p>
        </w:tc>
        <w:tc>
          <w:tcPr>
            <w:tcW w:type="dxa" w:w="4248"/>
            <w:vAlign w:val="center"/>
          </w:tcPr>
          <w:p>
            <w:pPr>
              <w:spacing w:after="60" w:before="60" w:line="240" w:lineRule="auto"/>
            </w:pPr>
            <w:r>
              <w:rPr>
                <w:rFonts w:ascii="Times New Roman" w:hAnsi="Times New Roman"/>
                <w:b w:val="0"/>
                <w:sz w:val="22"/>
              </w:rPr>
              <w:t>D3 98</w:t>
            </w:r>
          </w:p>
        </w:tc>
        <w:tc>
          <w:tcPr>
            <w:tcW w:type="dxa" w:w="1843"/>
            <w:vAlign w:val="center"/>
          </w:tcPr>
          <w:p>
            <w:pPr>
              <w:spacing w:after="60" w:before="60" w:line="240" w:lineRule="auto"/>
            </w:pPr>
            <w:r>
              <w:rPr>
                <w:rFonts w:ascii="Times New Roman" w:hAnsi="Times New Roman"/>
                <w:b w:val="0"/>
                <w:sz w:val="22"/>
              </w:rPr>
              <w:t>2 байт</w:t>
            </w:r>
          </w:p>
        </w:tc>
      </w:tr>
      <w:tr>
        <w:trPr>
          <w:cantSplit/>
        </w:trPr>
        <w:tc>
          <w:tcPr>
            <w:tcW w:type="dxa" w:w="1224"/>
            <w:vAlign w:val="center"/>
          </w:tcPr>
          <w:p>
            <w:pPr>
              <w:spacing w:after="60" w:before="60" w:line="240" w:lineRule="auto"/>
            </w:pPr>
            <w:r>
              <w:rPr>
                <w:rFonts w:ascii="Times New Roman" w:hAnsi="Times New Roman"/>
                <w:b w:val="0"/>
                <w:sz w:val="22"/>
              </w:rPr>
              <w:t>Қ</w:t>
            </w:r>
          </w:p>
        </w:tc>
        <w:tc>
          <w:tcPr>
            <w:tcW w:type="dxa" w:w="2088"/>
            <w:vAlign w:val="center"/>
          </w:tcPr>
          <w:p>
            <w:pPr>
              <w:spacing w:after="60" w:before="60" w:line="240" w:lineRule="auto"/>
            </w:pPr>
            <w:r>
              <w:rPr>
                <w:rFonts w:ascii="Times New Roman" w:hAnsi="Times New Roman"/>
                <w:b w:val="0"/>
                <w:sz w:val="22"/>
              </w:rPr>
              <w:t>U+049A</w:t>
            </w:r>
          </w:p>
        </w:tc>
        <w:tc>
          <w:tcPr>
            <w:tcW w:type="dxa" w:w="4248"/>
            <w:vAlign w:val="center"/>
          </w:tcPr>
          <w:p>
            <w:pPr>
              <w:spacing w:after="60" w:before="60" w:line="240" w:lineRule="auto"/>
            </w:pPr>
            <w:r>
              <w:rPr>
                <w:rFonts w:ascii="Times New Roman" w:hAnsi="Times New Roman"/>
                <w:b w:val="0"/>
                <w:sz w:val="22"/>
              </w:rPr>
              <w:t>D2 9A</w:t>
            </w:r>
          </w:p>
        </w:tc>
        <w:tc>
          <w:tcPr>
            <w:tcW w:type="dxa" w:w="1843"/>
            <w:vAlign w:val="center"/>
          </w:tcPr>
          <w:p>
            <w:pPr>
              <w:spacing w:after="60" w:before="60" w:line="240" w:lineRule="auto"/>
            </w:pPr>
            <w:r>
              <w:rPr>
                <w:rFonts w:ascii="Times New Roman" w:hAnsi="Times New Roman"/>
                <w:b w:val="0"/>
                <w:sz w:val="22"/>
              </w:rPr>
              <w:t>2 байт</w:t>
            </w:r>
          </w:p>
        </w:tc>
      </w:tr>
      <w:tr>
        <w:trPr>
          <w:cantSplit/>
        </w:trPr>
        <w:tc>
          <w:tcPr>
            <w:tcW w:type="dxa" w:w="1224"/>
            <w:vAlign w:val="center"/>
          </w:tcPr>
          <w:p>
            <w:pPr>
              <w:spacing w:after="60" w:before="60" w:line="240" w:lineRule="auto"/>
            </w:pPr>
            <w:r>
              <w:rPr>
                <w:rFonts w:ascii="Times New Roman" w:hAnsi="Times New Roman"/>
                <w:b w:val="0"/>
                <w:sz w:val="22"/>
              </w:rPr>
              <w:t>ң</w:t>
            </w:r>
          </w:p>
        </w:tc>
        <w:tc>
          <w:tcPr>
            <w:tcW w:type="dxa" w:w="2088"/>
            <w:vAlign w:val="center"/>
          </w:tcPr>
          <w:p>
            <w:pPr>
              <w:spacing w:after="60" w:before="60" w:line="240" w:lineRule="auto"/>
            </w:pPr>
            <w:r>
              <w:rPr>
                <w:rFonts w:ascii="Times New Roman" w:hAnsi="Times New Roman"/>
                <w:b w:val="0"/>
                <w:sz w:val="22"/>
              </w:rPr>
              <w:t>U+04A3</w:t>
            </w:r>
          </w:p>
        </w:tc>
        <w:tc>
          <w:tcPr>
            <w:tcW w:type="dxa" w:w="4248"/>
            <w:vAlign w:val="center"/>
          </w:tcPr>
          <w:p>
            <w:pPr>
              <w:spacing w:after="60" w:before="60" w:line="240" w:lineRule="auto"/>
            </w:pPr>
            <w:r>
              <w:rPr>
                <w:rFonts w:ascii="Times New Roman" w:hAnsi="Times New Roman"/>
                <w:b w:val="0"/>
                <w:sz w:val="22"/>
              </w:rPr>
              <w:t>D2 A3</w:t>
            </w:r>
          </w:p>
        </w:tc>
        <w:tc>
          <w:tcPr>
            <w:tcW w:type="dxa" w:w="1843"/>
            <w:vAlign w:val="center"/>
          </w:tcPr>
          <w:p>
            <w:pPr>
              <w:spacing w:after="60" w:before="60" w:line="240" w:lineRule="auto"/>
            </w:pPr>
            <w:r>
              <w:rPr>
                <w:rFonts w:ascii="Times New Roman" w:hAnsi="Times New Roman"/>
                <w:b w:val="0"/>
                <w:sz w:val="22"/>
              </w:rPr>
              <w:t>2 байт</w:t>
            </w:r>
          </w:p>
        </w:tc>
      </w:tr>
    </w:tbl>
    <w:p>
      <w:pPr>
        <w:pStyle w:val="af"/>
        <w:spacing w:line="276" w:lineRule="auto" w:after="120"/>
        <w:ind w:firstLine="720"/>
        <w:jc w:val="both"/>
      </w:pPr>
      <w:r>
        <w:rPr>
          <w:lang w:val="kk-KZ"/>
        </w:rPr>
        <w:t>Шартты мәтін файлы «Қазақ» деген бес әріптен ғана тұрсын. Осы бес әріптің әрқайсысы UTF-8-де екі байт алады, сондықтан мәтіннің өзі 10 байт, яғни 80 бит болады. Бұл есепте жол соңы, бос орын, BOM белгісі және файл жүйесінің қосымша шығыны есепке алынбайды. Толық DOCX құжатының көлемін осылай есептеуге болмайды, өйткені ол мәтінмен бірге құрылым, стиль және басқа деректерді де сақтайды.</w:t>
      </w:r>
    </w:p>
    <w:p>
      <w:pPr>
        <w:spacing w:before="100" w:after="140"/>
        <w:jc w:val="center"/>
      </w:pPr>
      <m:oMathPara>
        <m:oMathParaPr>
          <m:jc m:val="center"/>
        </m:oMathParaPr>
        <m:oMath>
          <m:r>
            <m:rPr>
              <m:sty m:val="i"/>
            </m:rPr>
            <w:rPr>
              <w:rFonts w:ascii="Cambria Math" w:hAnsi="Cambria Math"/>
              <w:sz w:val="28"/>
            </w:rPr>
            <m:t>V</m:t>
          </m:r>
          <m:r>
            <m:rPr>
              <m:sty m:val="i"/>
            </m:rPr>
            <w:rPr>
              <w:rFonts w:ascii="Cambria Math" w:hAnsi="Cambria Math"/>
              <w:sz w:val="28"/>
            </w:rPr>
            <m:t>=</m:t>
          </m:r>
          <m:r>
            <m:rPr>
              <m:sty m:val="i"/>
            </m:rPr>
            <w:rPr>
              <w:rFonts w:ascii="Cambria Math" w:hAnsi="Cambria Math"/>
              <w:sz w:val="28"/>
            </w:rPr>
            <m:t>5</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0</m:t>
          </m:r>
          <m:r>
            <m:rPr>
              <m:sty m:val="p"/>
            </m:rPr>
            <w:rPr>
              <w:rFonts w:ascii="Cambria Math" w:hAnsi="Cambria Math"/>
              <w:sz w:val="28"/>
            </w:rPr>
            <m:t xml:space="preserve">  </m:t>
          </m:r>
          <m:box>
            <m:e>
              <m:r>
                <m:rPr>
                  <m:sty m:val="p"/>
                </m:rPr>
                <w:rPr>
                  <w:rFonts w:ascii="Cambria Math" w:hAnsi="Cambria Math"/>
                  <w:sz w:val="28"/>
                </w:rPr>
                <m:t>б</m:t>
              </m:r>
              <m:r>
                <m:rPr>
                  <m:sty m:val="p"/>
                </m:rPr>
                <w:rPr>
                  <w:rFonts w:ascii="Cambria Math" w:hAnsi="Cambria Math"/>
                  <w:sz w:val="28"/>
                </w:rPr>
                <m:t>а</m:t>
              </m:r>
              <m:r>
                <m:rPr>
                  <m:sty m:val="p"/>
                </m:rPr>
                <w:rPr>
                  <w:rFonts w:ascii="Cambria Math" w:hAnsi="Cambria Math"/>
                  <w:sz w:val="28"/>
                </w:rPr>
                <m:t>й</m:t>
              </m:r>
              <m:r>
                <m:rPr>
                  <m:sty m:val="p"/>
                </m:rPr>
                <w:rPr>
                  <w:rFonts w:ascii="Cambria Math" w:hAnsi="Cambria Math"/>
                  <w:sz w:val="28"/>
                </w:rPr>
                <m:t>т</m:t>
              </m:r>
            </m:e>
          </m:box>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0</m:t>
          </m:r>
          <m:r>
            <m:rPr>
              <m:sty m:val="p"/>
            </m:rPr>
            <w:rPr>
              <w:rFonts w:ascii="Cambria Math" w:hAnsi="Cambria Math"/>
              <w:sz w:val="28"/>
            </w:rPr>
            <m:t xml:space="preserve">  </m:t>
          </m:r>
          <m:box>
            <m:e>
              <m:r>
                <m:rPr>
                  <m:sty m:val="p"/>
                </m:rPr>
                <w:rPr>
                  <w:rFonts w:ascii="Cambria Math" w:hAnsi="Cambria Math"/>
                  <w:sz w:val="28"/>
                </w:rPr>
                <m:t>б</m:t>
              </m:r>
              <m:r>
                <m:rPr>
                  <m:sty m:val="p"/>
                </m:rPr>
                <w:rPr>
                  <w:rFonts w:ascii="Cambria Math" w:hAnsi="Cambria Math"/>
                  <w:sz w:val="28"/>
                </w:rPr>
                <m:t>и</m:t>
              </m:r>
              <m:r>
                <m:rPr>
                  <m:sty m:val="p"/>
                </m:rPr>
                <w:rPr>
                  <w:rFonts w:ascii="Cambria Math" w:hAnsi="Cambria Math"/>
                  <w:sz w:val="28"/>
                </w:rPr>
                <m:t>т</m:t>
              </m:r>
            </m:e>
          </m:box>
        </m:oMath>
      </m:oMathPara>
    </w:p>
    <w:p>
      <w:pPr>
        <w:pStyle w:val="af"/>
        <w:spacing w:line="276" w:lineRule="auto" w:after="120"/>
        <w:ind w:firstLine="720"/>
        <w:jc w:val="both"/>
      </w:pPr>
      <w:r>
        <w:rPr>
          <w:lang w:val="kk-KZ"/>
        </w:rPr>
        <w:t>Мәтінді оқу кезінде кодтауды дұрыс таңдау маңызды. Қазақ әріптері бұзылса, бастапқы файлдың кодтауы мен ашатын бағдарламаның түсіндіру ережесі салыстырылады. Қате көріністі қайта сақтау бастапқы байттарды өзгертіп, қалпына келтіруді қиындатуы мүмкін. Сондықтан түрлендіру алдында көшірме сақтау, дұрыс кодтаумен қайта ашу және «Ә», «Қ», «ң» сияқты әріптердің көрінуін тексеру пайдалы.</w:t>
      </w:r>
    </w:p>
    <w:p>
      <w:pPr>
        <w:pStyle w:val="1"/>
      </w:pPr>
      <w:r>
        <w:t>4 Кескін мен дыбысты сандық ұсыну</w:t>
      </w:r>
    </w:p>
    <w:p>
      <w:pPr>
        <w:pStyle w:val="21"/>
      </w:pPr>
      <w:r>
        <w:t>4.1 Растрлық кескін</w:t>
      </w:r>
    </w:p>
    <w:p>
      <w:pPr>
        <w:pStyle w:val="af"/>
        <w:spacing w:line="276" w:lineRule="auto" w:after="120"/>
        <w:ind w:firstLine="720"/>
        <w:jc w:val="both"/>
      </w:pPr>
      <w:r>
        <w:rPr>
          <w:lang w:val="kk-KZ"/>
        </w:rPr>
        <w:t>Растрлық кескін пиксельдер торынан тұрады. Әр пиксельдің түсі белгілі бит тереңдігімен беріледі. Мысалы, 8 биттік сұр реңк мәні 256 деңгейдің бірін, ал үш арналы 24 биттік RGB кескіні әр арна үшін 8 биттік мәнді сақтайды. Кескіннің ажыратымдылығы пиксель санына, ал бит тереңдігі бір пиксельдегі ықтимал түстер санына әсер етеді. Бұл екі сипаттаманы бір ұғым ретінде қарастыруға болмайды.</w:t>
      </w:r>
    </w:p>
    <w:p>
      <w:pPr>
        <w:pStyle w:val="af"/>
        <w:spacing w:line="276" w:lineRule="auto" w:after="120"/>
        <w:ind w:firstLine="720"/>
        <w:jc w:val="both"/>
      </w:pPr>
      <w:r>
        <w:rPr>
          <w:lang w:val="kk-KZ"/>
        </w:rPr>
        <w:t>Шартты RGB кескінінің ені 800, биіктігі 600 пиксель, түс тереңдігі 24 бит болсын. Сығылмаған пиксель дерегінің көлемі ені, биіктігі және бит тереңдігінің көбейтіндісімен табылады. Мұнда W — ені, H — биіктігі, b — бір пиксельге берілген бит саны. Байқау үшін нәтиже байтқа ауыстырылады.</w:t>
      </w:r>
    </w:p>
    <w:p>
      <w:pPr>
        <w:spacing w:before="100" w:after="140"/>
        <w:jc w:val="center"/>
      </w:pPr>
      <m:oMathPara>
        <m:oMathParaPr>
          <m:jc m:val="center"/>
        </m:oMathParaPr>
        <m:oMath>
          <m:r>
            <m:rPr>
              <m:sty m:val="i"/>
            </m:rPr>
            <w:rPr>
              <w:rFonts w:ascii="Cambria Math" w:hAnsi="Cambria Math"/>
              <w:sz w:val="28"/>
            </w:rPr>
            <m:t>V</m:t>
          </m:r>
          <m:r>
            <m:rPr>
              <m:sty m:val="i"/>
            </m:rPr>
            <w:rPr>
              <w:rFonts w:ascii="Cambria Math" w:hAnsi="Cambria Math"/>
              <w:sz w:val="28"/>
            </w:rPr>
            <m:t>=</m:t>
          </m:r>
          <m:r>
            <m:rPr>
              <m:sty m:val="i"/>
            </m:rPr>
            <w:rPr>
              <w:rFonts w:ascii="Cambria Math" w:hAnsi="Cambria Math"/>
              <w:sz w:val="28"/>
            </w:rPr>
            <m:t>W</m:t>
          </m:r>
          <m:r>
            <m:rPr>
              <m:sty m:val="i"/>
            </m:rPr>
            <w:rPr>
              <w:rFonts w:ascii="Cambria Math" w:hAnsi="Cambria Math"/>
              <w:sz w:val="28"/>
            </w:rPr>
            <m:t>·</m:t>
          </m:r>
          <m:r>
            <m:rPr>
              <m:sty m:val="i"/>
            </m:rPr>
            <w:rPr>
              <w:rFonts w:ascii="Cambria Math" w:hAnsi="Cambria Math"/>
              <w:sz w:val="28"/>
            </w:rPr>
            <m:t xml:space="preserve"> </m:t>
          </m:r>
          <m:r>
            <m:rPr>
              <m:sty m:val="i"/>
            </m:rPr>
            <w:rPr>
              <w:rFonts w:ascii="Cambria Math" w:hAnsi="Cambria Math"/>
              <w:sz w:val="28"/>
            </w:rPr>
            <m:t>H</m:t>
          </m:r>
          <m:r>
            <m:rPr>
              <m:sty m:val="i"/>
            </m:rPr>
            <w:rPr>
              <w:rFonts w:ascii="Cambria Math" w:hAnsi="Cambria Math"/>
              <w:sz w:val="28"/>
            </w:rPr>
            <m:t>·</m:t>
          </m:r>
          <m:r>
            <m:rPr>
              <m:sty m:val="i"/>
            </m:rPr>
            <w:rPr>
              <w:rFonts w:ascii="Cambria Math" w:hAnsi="Cambria Math"/>
              <w:sz w:val="28"/>
            </w:rPr>
            <m:t xml:space="preserve"> </m:t>
          </m:r>
          <m:r>
            <m:rPr>
              <m:sty m:val="i"/>
            </m:rPr>
            <w:rPr>
              <w:rFonts w:ascii="Cambria Math" w:hAnsi="Cambria Math"/>
              <w:sz w:val="28"/>
            </w:rPr>
            <m:t>b</m:t>
          </m:r>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6</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4</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1</m:t>
          </m:r>
          <m:r>
            <m:rPr>
              <m:sty m:val="i"/>
            </m:rPr>
            <w:rPr>
              <w:rFonts w:ascii="Cambria Math" w:hAnsi="Cambria Math"/>
              <w:sz w:val="28"/>
            </w:rPr>
            <m:t>5</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r>
            <m:rPr>
              <m:sty m:val="p"/>
            </m:rPr>
            <w:rPr>
              <w:rFonts w:ascii="Cambria Math" w:hAnsi="Cambria Math"/>
              <w:sz w:val="28"/>
            </w:rPr>
            <m:t xml:space="preserve">  </m:t>
          </m:r>
          <m:box>
            <m:e>
              <m:r>
                <m:rPr>
                  <m:sty m:val="p"/>
                </m:rPr>
                <w:rPr>
                  <w:rFonts w:ascii="Cambria Math" w:hAnsi="Cambria Math"/>
                  <w:sz w:val="28"/>
                </w:rPr>
                <m:t>б</m:t>
              </m:r>
              <m:r>
                <m:rPr>
                  <m:sty m:val="p"/>
                </m:rPr>
                <w:rPr>
                  <w:rFonts w:ascii="Cambria Math" w:hAnsi="Cambria Math"/>
                  <w:sz w:val="28"/>
                </w:rPr>
                <m:t>и</m:t>
              </m:r>
              <m:r>
                <m:rPr>
                  <m:sty m:val="p"/>
                </m:rPr>
                <w:rPr>
                  <w:rFonts w:ascii="Cambria Math" w:hAnsi="Cambria Math"/>
                  <w:sz w:val="28"/>
                </w:rPr>
                <m:t>т</m:t>
              </m:r>
            </m:e>
          </m:box>
        </m:oMath>
      </m:oMathPara>
    </w:p>
    <w:p>
      <w:pPr>
        <w:spacing w:before="100" w:after="140"/>
        <w:jc w:val="center"/>
      </w:pPr>
      <m:oMathPara>
        <m:oMathParaPr>
          <m:jc m:val="center"/>
        </m:oMathParaPr>
        <m:oMath>
          <m:r>
            <m:rPr>
              <m:sty m:val="i"/>
            </m:rPr>
            <w:rPr>
              <w:rFonts w:ascii="Cambria Math" w:hAnsi="Cambria Math"/>
              <w:sz w:val="28"/>
            </w:rPr>
            <m:t>V</m:t>
          </m:r>
          <m:r>
            <m:rPr>
              <m:sty m:val="i"/>
            </m:rPr>
            <w:rPr>
              <w:rFonts w:ascii="Cambria Math" w:hAnsi="Cambria Math"/>
              <w:sz w:val="28"/>
            </w:rPr>
            <m:t>=</m:t>
          </m:r>
          <m:f>
            <m:num>
              <m:r>
                <m:rPr>
                  <m:sty m:val="i"/>
                </m:rPr>
                <w:rPr>
                  <w:rFonts w:ascii="Cambria Math" w:hAnsi="Cambria Math"/>
                  <w:sz w:val="28"/>
                </w:rPr>
                <m:t>1</m:t>
              </m:r>
              <m:r>
                <m:rPr>
                  <m:sty m:val="i"/>
                </m:rPr>
                <w:rPr>
                  <w:rFonts w:ascii="Cambria Math" w:hAnsi="Cambria Math"/>
                  <w:sz w:val="28"/>
                </w:rPr>
                <m:t>1</m:t>
              </m:r>
              <m:r>
                <m:rPr>
                  <m:sty m:val="i"/>
                </m:rPr>
                <w:rPr>
                  <w:rFonts w:ascii="Cambria Math" w:hAnsi="Cambria Math"/>
                  <w:sz w:val="28"/>
                </w:rPr>
                <m:t>5</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num>
            <m:den>
              <m:r>
                <m:rPr>
                  <m:sty m:val="i"/>
                </m:rPr>
                <w:rPr>
                  <w:rFonts w:ascii="Cambria Math" w:hAnsi="Cambria Math"/>
                  <w:sz w:val="28"/>
                </w:rPr>
                <m:t>8</m:t>
              </m:r>
            </m:den>
          </m:f>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4</m:t>
          </m:r>
          <m:r>
            <m:rPr>
              <m:sty m:val="i"/>
            </m:rPr>
            <w:rPr>
              <w:rFonts w:ascii="Cambria Math" w:hAnsi="Cambria Math"/>
              <w:sz w:val="28"/>
            </w:rPr>
            <m:t>4</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r>
            <m:rPr>
              <m:sty m:val="p"/>
            </m:rPr>
            <w:rPr>
              <w:rFonts w:ascii="Cambria Math" w:hAnsi="Cambria Math"/>
              <w:sz w:val="28"/>
            </w:rPr>
            <m:t xml:space="preserve">  </m:t>
          </m:r>
          <m:box>
            <m:e>
              <m:r>
                <m:rPr>
                  <m:sty m:val="p"/>
                </m:rPr>
                <w:rPr>
                  <w:rFonts w:ascii="Cambria Math" w:hAnsi="Cambria Math"/>
                  <w:sz w:val="28"/>
                </w:rPr>
                <m:t>б</m:t>
              </m:r>
              <m:r>
                <m:rPr>
                  <m:sty m:val="p"/>
                </m:rPr>
                <w:rPr>
                  <w:rFonts w:ascii="Cambria Math" w:hAnsi="Cambria Math"/>
                  <w:sz w:val="28"/>
                </w:rPr>
                <m:t>а</m:t>
              </m:r>
              <m:r>
                <m:rPr>
                  <m:sty m:val="p"/>
                </m:rPr>
                <w:rPr>
                  <w:rFonts w:ascii="Cambria Math" w:hAnsi="Cambria Math"/>
                  <w:sz w:val="28"/>
                </w:rPr>
                <m:t>й</m:t>
              </m:r>
              <m:r>
                <m:rPr>
                  <m:sty m:val="p"/>
                </m:rPr>
                <w:rPr>
                  <w:rFonts w:ascii="Cambria Math" w:hAnsi="Cambria Math"/>
                  <w:sz w:val="28"/>
                </w:rPr>
                <m:t>т</m:t>
              </m:r>
            </m:e>
          </m:box>
          <m:r>
            <m:rPr>
              <m:sty m:val="i"/>
            </m:rPr>
            <w:rPr>
              <w:rFonts w:ascii="Cambria Math" w:hAnsi="Cambria Math"/>
              <w:sz w:val="28"/>
            </w:rPr>
            <m:t>=</m:t>
          </m:r>
          <m:r>
            <m:rPr>
              <m:sty m:val="i"/>
            </m:rPr>
            <w:rPr>
              <w:rFonts w:ascii="Cambria Math" w:hAnsi="Cambria Math"/>
              <w:sz w:val="28"/>
            </w:rPr>
            <m:t>1</m:t>
          </m:r>
          <m:box>
            <m:e>
              <m:r>
                <m:rPr>
                  <m:sty m:val="i"/>
                </m:rPr>
                <w:rPr>
                  <w:rFonts w:ascii="Cambria Math" w:hAnsi="Cambria Math"/>
                  <w:sz w:val="28"/>
                </w:rPr>
                <m:t>,</m:t>
              </m:r>
            </m:e>
          </m:box>
          <m:r>
            <m:rPr>
              <m:sty m:val="i"/>
            </m:rPr>
            <w:rPr>
              <w:rFonts w:ascii="Cambria Math" w:hAnsi="Cambria Math"/>
              <w:sz w:val="28"/>
            </w:rPr>
            <m:t>4</m:t>
          </m:r>
          <m:r>
            <m:rPr>
              <m:sty m:val="i"/>
            </m:rPr>
            <w:rPr>
              <w:rFonts w:ascii="Cambria Math" w:hAnsi="Cambria Math"/>
              <w:sz w:val="28"/>
            </w:rPr>
            <m:t>4</m:t>
          </m:r>
          <m:r>
            <m:rPr>
              <m:sty m:val="p"/>
            </m:rPr>
            <w:rPr>
              <w:rFonts w:ascii="Cambria Math" w:hAnsi="Cambria Math"/>
              <w:sz w:val="28"/>
            </w:rPr>
            <m:t xml:space="preserve">  </m:t>
          </m:r>
          <m:box>
            <m:e>
              <m:r>
                <m:rPr>
                  <m:sty m:val="p"/>
                </m:rPr>
                <w:rPr>
                  <w:rFonts w:ascii="Cambria Math" w:hAnsi="Cambria Math"/>
                  <w:sz w:val="28"/>
                </w:rPr>
                <m:t>M</m:t>
              </m:r>
              <m:r>
                <m:rPr>
                  <m:sty m:val="p"/>
                </m:rPr>
                <w:rPr>
                  <w:rFonts w:ascii="Cambria Math" w:hAnsi="Cambria Math"/>
                  <w:sz w:val="28"/>
                </w:rPr>
                <m:t>B</m:t>
              </m:r>
            </m:e>
          </m:box>
        </m:oMath>
      </m:oMathPara>
    </w:p>
    <w:p>
      <w:pPr>
        <w:pStyle w:val="af"/>
        <w:spacing w:line="276" w:lineRule="auto" w:after="120"/>
        <w:ind w:firstLine="720"/>
        <w:jc w:val="both"/>
      </w:pPr>
      <w:r>
        <w:rPr>
          <w:lang w:val="kk-KZ"/>
        </w:rPr>
        <w:t>Осы 1,44 MB тек пиксельдік дерекке қатысты. Файл тақырыбы, метадерек, жолдарды туралау, қосымша арна және қысу тәсілі нақты файл көлемін өзгертеді. Мысалы, PNG не JPEG файлының көлемін тек ажыратымдылық бойынша дәл анықтау мүмкін емес. Есеп шартында «сығылмаған RGB пиксель дерегі» деп көрсету техникалық модельдің шегін айқындайды және нәтижені дұрыс түсіндіруге көмектеседі.</w:t>
      </w:r>
    </w:p>
    <w:p>
      <w:pPr>
        <w:pStyle w:val="21"/>
      </w:pPr>
      <w:r>
        <w:t>4.2 Дыбысты цифрлау</w:t>
      </w:r>
    </w:p>
    <w:p>
      <w:pPr>
        <w:pStyle w:val="af"/>
        <w:spacing w:line="276" w:lineRule="auto" w:after="120"/>
        <w:ind w:firstLine="720"/>
        <w:jc w:val="both"/>
      </w:pPr>
      <w:r>
        <w:rPr>
          <w:lang w:val="kk-KZ"/>
        </w:rPr>
        <w:t>Дыбыс сигналын сандық ұсынуда уақыт бойынша өлшеу және алынған амплитуданы дискретті деңгейге сәйкестендіру қолданылады. Дискреттеу жиілігі секундына қанша үлгі алынатынын білдіреді. Бит тереңдігі әр үлгіге берілетін разряд санын, ал арна саны жеке сақталатын сигналдар санын көрсетеді. Сығылмаған PCM дерегінің көлеміне осы параметрлер және жазба ұзақтығы әсер етеді.</w:t>
      </w:r>
    </w:p>
    <w:p>
      <w:pPr>
        <w:pStyle w:val="af"/>
        <w:spacing w:line="276" w:lineRule="auto" w:after="120"/>
        <w:ind w:firstLine="720"/>
        <w:jc w:val="both"/>
      </w:pPr>
      <w:r>
        <w:rPr>
          <w:lang w:val="kk-KZ"/>
        </w:rPr>
        <w:t>Мысалы, ұзақтығы 10 секунд, жиілігі 8000 Гц, тереңдігі 16 бит және бір арнасы бар шартты жазбаның дыбыстық дерегі 1 280 000 бит болады. Бұл 160 000 байтқа тең. Төменде f — дискреттеу жиілігі, b — бит тереңдігі, c — арна саны, t — уақыт. Контейнер тақырыбы және қысу бұл модельде ескерілмейді.</w:t>
      </w:r>
    </w:p>
    <w:p>
      <w:pPr>
        <w:spacing w:before="100" w:after="140"/>
        <w:jc w:val="center"/>
      </w:pPr>
      <m:oMathPara>
        <m:oMathParaPr>
          <m:jc m:val="center"/>
        </m:oMathParaPr>
        <m:oMath>
          <m:r>
            <m:rPr>
              <m:sty m:val="i"/>
            </m:rPr>
            <w:rPr>
              <w:rFonts w:ascii="Cambria Math" w:hAnsi="Cambria Math"/>
              <w:sz w:val="28"/>
            </w:rPr>
            <m:t>V</m:t>
          </m:r>
          <m:r>
            <m:rPr>
              <m:sty m:val="i"/>
            </m:rPr>
            <w:rPr>
              <w:rFonts w:ascii="Cambria Math" w:hAnsi="Cambria Math"/>
              <w:sz w:val="28"/>
            </w:rPr>
            <m:t>=</m:t>
          </m:r>
          <m:r>
            <m:rPr>
              <m:sty m:val="i"/>
            </m:rPr>
            <w:rPr>
              <w:rFonts w:ascii="Cambria Math" w:hAnsi="Cambria Math"/>
              <w:sz w:val="28"/>
            </w:rPr>
            <m:t>f</m:t>
          </m:r>
          <m:r>
            <m:rPr>
              <m:sty m:val="i"/>
            </m:rPr>
            <w:rPr>
              <w:rFonts w:ascii="Cambria Math" w:hAnsi="Cambria Math"/>
              <w:sz w:val="28"/>
            </w:rPr>
            <m:t>·</m:t>
          </m:r>
          <m:r>
            <m:rPr>
              <m:sty m:val="i"/>
            </m:rPr>
            <w:rPr>
              <w:rFonts w:ascii="Cambria Math" w:hAnsi="Cambria Math"/>
              <w:sz w:val="28"/>
            </w:rPr>
            <m:t xml:space="preserve"> </m:t>
          </m:r>
          <m:r>
            <m:rPr>
              <m:sty m:val="i"/>
            </m:rPr>
            <w:rPr>
              <w:rFonts w:ascii="Cambria Math" w:hAnsi="Cambria Math"/>
              <w:sz w:val="28"/>
            </w:rPr>
            <m:t>b</m:t>
          </m:r>
          <m:r>
            <m:rPr>
              <m:sty m:val="i"/>
            </m:rPr>
            <w:rPr>
              <w:rFonts w:ascii="Cambria Math" w:hAnsi="Cambria Math"/>
              <w:sz w:val="28"/>
            </w:rPr>
            <m:t>·</m:t>
          </m:r>
          <m:r>
            <m:rPr>
              <m:sty m:val="i"/>
            </m:rPr>
            <w:rPr>
              <w:rFonts w:ascii="Cambria Math" w:hAnsi="Cambria Math"/>
              <w:sz w:val="28"/>
            </w:rPr>
            <m:t xml:space="preserve"> </m:t>
          </m:r>
          <m:r>
            <m:rPr>
              <m:sty m:val="i"/>
            </m:rPr>
            <w:rPr>
              <w:rFonts w:ascii="Cambria Math" w:hAnsi="Cambria Math"/>
              <w:sz w:val="28"/>
            </w:rPr>
            <m:t>c</m:t>
          </m:r>
          <m:r>
            <m:rPr>
              <m:sty m:val="i"/>
            </m:rPr>
            <w:rPr>
              <w:rFonts w:ascii="Cambria Math" w:hAnsi="Cambria Math"/>
              <w:sz w:val="28"/>
            </w:rPr>
            <m:t>·</m:t>
          </m:r>
          <m:r>
            <m:rPr>
              <m:sty m:val="i"/>
            </m:rPr>
            <w:rPr>
              <w:rFonts w:ascii="Cambria Math" w:hAnsi="Cambria Math"/>
              <w:sz w:val="28"/>
            </w:rPr>
            <m:t xml:space="preserve"> </m:t>
          </m:r>
          <m:r>
            <m:rPr>
              <m:sty m:val="i"/>
            </m:rPr>
            <w:rPr>
              <w:rFonts w:ascii="Cambria Math" w:hAnsi="Cambria Math"/>
              <w:sz w:val="28"/>
            </w:rPr>
            <m:t>t</m:t>
          </m:r>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6</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2</m:t>
          </m:r>
          <m:r>
            <m:rPr>
              <m:sty m:val="i"/>
            </m:rPr>
            <w:rPr>
              <w:rFonts w:ascii="Cambria Math" w:hAnsi="Cambria Math"/>
              <w:sz w:val="28"/>
            </w:rPr>
            <m:t>8</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r>
            <m:rPr>
              <m:sty m:val="p"/>
            </m:rPr>
            <w:rPr>
              <w:rFonts w:ascii="Cambria Math" w:hAnsi="Cambria Math"/>
              <w:sz w:val="28"/>
            </w:rPr>
            <m:t xml:space="preserve">  </m:t>
          </m:r>
          <m:box>
            <m:e>
              <m:r>
                <m:rPr>
                  <m:sty m:val="p"/>
                </m:rPr>
                <w:rPr>
                  <w:rFonts w:ascii="Cambria Math" w:hAnsi="Cambria Math"/>
                  <w:sz w:val="28"/>
                </w:rPr>
                <m:t>б</m:t>
              </m:r>
              <m:r>
                <m:rPr>
                  <m:sty m:val="p"/>
                </m:rPr>
                <w:rPr>
                  <w:rFonts w:ascii="Cambria Math" w:hAnsi="Cambria Math"/>
                  <w:sz w:val="28"/>
                </w:rPr>
                <m:t>и</m:t>
              </m:r>
              <m:r>
                <m:rPr>
                  <m:sty m:val="p"/>
                </m:rPr>
                <w:rPr>
                  <w:rFonts w:ascii="Cambria Math" w:hAnsi="Cambria Math"/>
                  <w:sz w:val="28"/>
                </w:rPr>
                <m:t>т</m:t>
              </m:r>
            </m:e>
          </m:box>
        </m:oMath>
      </m:oMathPara>
    </w:p>
    <w:p>
      <w:pPr>
        <w:pStyle w:val="af"/>
        <w:spacing w:line="276" w:lineRule="auto" w:after="120"/>
        <w:ind w:firstLine="720"/>
        <w:jc w:val="both"/>
      </w:pPr>
      <w:r>
        <w:rPr>
          <w:lang w:val="kk-KZ"/>
        </w:rPr>
        <w:t>Параметрлерді ұлғайту әрдайым бастапқы жазбаның сапасын қалпына келтірмейді. Егер дыбыс шуылмен жазылса, кейін бит тереңдігін арттыру жоғалған пайдалы сигналды өздігінен қайтармайды. Сол сияқты төмен ажыратымдылықтағы кескінді үлкейту жаңа нақты деталь қоспайды. Бұл кодтау параметрі, бастапқы деректің сапасы және қабылданатын нәтиже арасында айырмашылық бар екенін көрсетеді.</w:t>
      </w:r>
    </w:p>
    <w:p>
      <w:pPr>
        <w:pStyle w:val="1"/>
      </w:pPr>
      <w:r>
        <w:t>5 Қысу шифрлау және қатені анықтау</w:t>
      </w:r>
    </w:p>
    <w:p>
      <w:pPr>
        <w:pStyle w:val="af"/>
        <w:spacing w:line="276" w:lineRule="auto" w:after="120"/>
        <w:ind w:firstLine="720"/>
        <w:jc w:val="both"/>
      </w:pPr>
      <w:r>
        <w:rPr>
          <w:lang w:val="kk-KZ"/>
        </w:rPr>
        <w:t>Қысу деректі ықшам ұсынуға бағытталады. Шығынсыз қысуда бастапқы дерек дәл қалпына келеді. Шығынды қысуда белгілі бөлігі өзгертіледі немесе алынып тасталады, сондықтан бастапқы мәндер толық сақталмайды. Мәтіндік тапсырмада әр әріптің сақталуы маңызды, ал кейбір мультимедиалық қолдануда көлем мен қабылданатын сапаның арақатынасы қарастырылады. Қысу тәсілін материалдың мақсатына қарай таңдау қажет.</w:t>
      </w:r>
    </w:p>
    <w:p>
      <w:pPr>
        <w:pStyle w:val="af"/>
        <w:spacing w:line="276" w:lineRule="auto" w:after="120"/>
        <w:ind w:firstLine="720"/>
        <w:jc w:val="both"/>
      </w:pPr>
      <w:r>
        <w:rPr>
          <w:lang w:val="kk-KZ"/>
        </w:rPr>
        <w:t>Шифрлау ақпаратты кілтсіз оқудан қорғауға бағытталған. Кодтау көбіне ортақ ашық ережемен орындалады, ал шифрлау құпиялылықты қамтамасыз ететін түрлендіруді қолданады. Сондықтан мәтінді екілікке ауыстыру оны құпия етпейді. Керісінше, қысылған немесе шифрланған дерек те сақтау және беру үшін белгілі кодпен ұсынылады. Бұл ұғымдардың байланысы бар, бірақ олардың мақсаты бірдей емес.</w:t>
      </w:r>
    </w:p>
    <w:p>
      <w:pPr>
        <w:pStyle w:val="af"/>
        <w:spacing w:line="276" w:lineRule="auto" w:after="120"/>
        <w:ind w:firstLine="720"/>
        <w:jc w:val="both"/>
      </w:pPr>
      <w:r>
        <w:rPr>
          <w:lang w:val="kk-KZ"/>
        </w:rPr>
        <w:t>Қатені анықтау кодтары дерек тасымалдау кезінде бұзылуды байқауға көмектеседі. Қарапайым жұптық бақылауда деректегі бірлер саны жұп болатындай қосымша бит беріледі. Егер бір бит өзгерсе, тексеру сәйкессіздікті байқайды. Бірақ екі бит қатар өзгергенде жұптық сақталып қалуы мүмкін. Сондықтан бұл әдіс барлық қатені анықтамайды және қатенің орнын өздігінен көрсетпейді.</w:t>
      </w:r>
    </w:p>
    <w:p>
      <w:pPr>
        <w:pStyle w:val="af"/>
        <w:spacing w:line="276" w:lineRule="auto" w:after="120"/>
        <w:ind w:firstLine="720"/>
        <w:jc w:val="both"/>
      </w:pPr>
      <w:r>
        <w:rPr>
          <w:lang w:val="kk-KZ"/>
        </w:rPr>
        <w:t>Оқу жағдайында 1011001 тізбегінде төрт бір бар, сондықтан жұптық бақылау биті 0 болады. Егер алғашқы бит өзгеріп, тізбек 0011001 болып кетсе, бірлер саны үшке түседі және тексеру қате бар екенін көрсетеді. Мұндай шағын мысал бақылау кодының мүмкіндігін де, шектеуін де ашады. Бағалау кезінде студенттен тек бақылау битін емес, нәтижесінің себебін түсіндіру талап етіледі.</w:t>
      </w:r>
    </w:p>
    <w:p>
      <w:pPr>
        <w:pStyle w:val="1"/>
      </w:pPr>
      <w:r>
        <w:t>Қорытынды</w:t>
      </w:r>
    </w:p>
    <w:p>
      <w:pPr>
        <w:pStyle w:val="af"/>
        <w:keepLines/>
        <w:spacing w:line="276" w:lineRule="auto" w:after="120"/>
        <w:ind w:firstLine="720"/>
        <w:jc w:val="both"/>
      </w:pPr>
      <w:r>
        <w:rPr>
          <w:lang w:val="kk-KZ"/>
        </w:rPr>
        <w:t>Ақпаратты кодтау бастапқы мазмұн мен биттер тізбегі арасында келісілген сәйкестік орнатады. Дұрыс түсіндіру үшін кодтау ережесі, дерек түрі және параметрлері белгілі болуы қажет. Екілік санау жүйесі сандарды ұсынуға негіз болады, ал Unicode пен UTF-8 қазақ мәтінін түрлі жүйеде сақтауға мүмкіндік береді. Таңба саны, байт саны және толық файл көлемі әртүрлі шамалар екені есеп мысалдарынан көрінеді.</w:t>
      </w:r>
    </w:p>
    <w:p>
      <w:pPr>
        <w:pStyle w:val="af"/>
        <w:spacing w:line="276" w:lineRule="auto" w:after="120"/>
        <w:ind w:firstLine="720"/>
        <w:jc w:val="both"/>
      </w:pPr>
      <w:r>
        <w:rPr>
          <w:lang w:val="kk-KZ"/>
        </w:rPr>
        <w:t>Кескін мен дыбыстың көлемі ажыратымдылыққа, бит тереңдігіне, дискреттеу жиілігіне, арна санына және ұзақтыққа тәуелді. Есептеу кезінде метадерек пен қысудың ескерілгені ашық көрсетілуі тиіс. Қысу көлемді азайтады, шифрлау құпиялылыққа қызмет етеді, ал бақылау кодтары қатені байқауға көмектеседі. Осы айырмашылықтарды түсіну ақпаратты дұрыс сақтау, тасымалдау және тексеру дағдысын қалыптастырады.</w:t>
      </w:r>
    </w:p>
    <w:p>
      <w:pPr>
        <w:pStyle w:val="1"/>
      </w:pPr>
      <w:r>
        <w:t>Пайдаланылған әдебиеттер</w:t>
      </w:r>
    </w:p>
    <w:p>
      <w:pPr>
        <w:spacing w:after="120"/>
        <w:jc w:val="left"/>
      </w:pPr>
      <w:r>
        <w:rPr>
          <w:sz w:val="22"/>
        </w:rPr>
        <w:t>1. Мұхамбетжанова С. Т., Тен А. С., Демидова Л. Г. Информатика: жалпы білім беретін мектептің 7-сыныбына арналған оқулық. Алматы: Атамұра, 2021. 208 б. Электрондық басылым: https://free.atamura.kz/?mbdb_book=940</w:t>
      </w:r>
    </w:p>
    <w:p>
      <w:pPr>
        <w:spacing w:after="120"/>
        <w:jc w:val="left"/>
      </w:pPr>
      <w:r>
        <w:rPr>
          <w:sz w:val="22"/>
        </w:rPr>
        <w:t>2. Unicode Consortium. UTF-8, UTF-16, UTF-32 &amp; BOM FAQ. URL: https://www.unicode.org/faq/utf_bom.html</w:t>
      </w:r>
    </w:p>
    <w:p>
      <w:pPr>
        <w:spacing w:after="120"/>
        <w:jc w:val="left"/>
      </w:pPr>
      <w:r>
        <w:rPr>
          <w:sz w:val="22"/>
        </w:rPr>
        <w:t>3. Yergeau F. UTF-8, a transformation format of ISO 10646. RFC 3629. 2003. URL: https://www.rfc-editor.org/rfc/rfc3629</w:t>
      </w:r>
    </w:p>
    <w:p>
      <w:pPr>
        <w:spacing w:after="120"/>
        <w:jc w:val="left"/>
      </w:pPr>
      <w:r>
        <w:rPr>
          <w:sz w:val="22"/>
        </w:rPr>
        <w:t>4. NIST. Definitions of the SI units: The binary prefixes. URL: https://physics.nist.gov/cuu/Units/binary.html</w:t>
      </w:r>
    </w:p>
    <w:p>
      <w:pPr>
        <w:spacing w:after="120"/>
        <w:jc w:val="left"/>
      </w:pPr>
      <w:r>
        <w:rPr>
          <w:sz w:val="22"/>
        </w:rPr>
        <w:t>Электрондық дереккөздер қаралған күн: 08.10.2026.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Ақпаратты кодтау</dc:title>
  <dc:subject>Бағалау және Дамыту — реферат</dc:subject>
  <dc:creator>Кумекбай И.Б.</dc:creator>
  <cp:keywords/>
  <dc:description/>
  <cp:lastModifiedBy>Кумекбай И.Б.</cp:lastModifiedBy>
  <cp:revision>3</cp:revision>
  <dcterms:created xsi:type="dcterms:W3CDTF">2026-10-02T15:54:00Z</dcterms:created>
  <dcterms:modified xsi:type="dcterms:W3CDTF">2026-10-02T16:26:00Z</dcterms:modified>
  <cp:category/>
</cp:coreProperties>
</file>