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1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третьему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внешнего</w:t>
      </w:r>
      <w:r>
        <w:t xml:space="preserve"> </w:t>
      </w:r>
      <w:r>
        <w:t xml:space="preserve">курса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Казазаев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Внешний кур состоит из трех этапов.</w:t>
      </w:r>
    </w:p>
    <w:bookmarkEnd w:id="20"/>
    <w:bookmarkStart w:id="21" w:name="этап-первый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Этап первый</w:t>
      </w:r>
    </w:p>
    <w:p>
      <w:pPr>
        <w:pStyle w:val="FirstParagraph"/>
      </w:pPr>
      <w:r>
        <w:t xml:space="preserve">Первый этап курса состоит из 4 частей:</w:t>
      </w:r>
    </w:p>
    <w:p>
      <w:pPr>
        <w:numPr>
          <w:ilvl w:val="0"/>
          <w:numId w:val="1001"/>
        </w:numPr>
        <w:pStyle w:val="Compact"/>
      </w:pPr>
      <w:r>
        <w:t xml:space="preserve">Введине в криптографию</w:t>
      </w:r>
    </w:p>
    <w:p>
      <w:pPr>
        <w:numPr>
          <w:ilvl w:val="0"/>
          <w:numId w:val="1001"/>
        </w:numPr>
        <w:pStyle w:val="Compact"/>
      </w:pPr>
      <w:r>
        <w:t xml:space="preserve">Цифровая подпись</w:t>
      </w:r>
    </w:p>
    <w:p>
      <w:pPr>
        <w:numPr>
          <w:ilvl w:val="0"/>
          <w:numId w:val="1001"/>
        </w:numPr>
        <w:pStyle w:val="Compact"/>
      </w:pPr>
      <w:r>
        <w:t xml:space="preserve">Электронные платежи</w:t>
      </w:r>
    </w:p>
    <w:p>
      <w:pPr>
        <w:numPr>
          <w:ilvl w:val="0"/>
          <w:numId w:val="1001"/>
        </w:numPr>
        <w:pStyle w:val="Compact"/>
      </w:pPr>
      <w:r>
        <w:t xml:space="preserve">Блокчейн</w:t>
      </w:r>
    </w:p>
    <w:bookmarkEnd w:id="21"/>
    <w:bookmarkStart w:id="38" w:name="выполнение-первого-этапа-внешнего-курса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первого этапа внешнего курса.</w:t>
      </w:r>
    </w:p>
    <w:bookmarkStart w:id="37" w:name="Xdda5e76c0b74b1600168efa3b2d983088cea62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Введине в криптографиюВведине в криптографию</w:t>
      </w:r>
    </w:p>
    <w:p>
      <w:pPr>
        <w:pStyle w:val="FirstParagraph"/>
      </w:pPr>
      <w:r>
        <w:t xml:space="preserve">В ассиметричных криптографических примитивах обестороны имеют пару ключей. (рис. 1)</w:t>
      </w:r>
    </w:p>
    <w:p>
      <w:pPr>
        <w:pStyle w:val="CaptionedFigure"/>
      </w:pPr>
      <w:r>
        <w:drawing>
          <wp:inline>
            <wp:extent cx="3733800" cy="2717677"/>
            <wp:effectExtent b="0" l="0" r="0" t="0"/>
            <wp:docPr descr="Первый вопрос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7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Первый вопрос</w:t>
      </w:r>
    </w:p>
    <w:p>
      <w:pPr>
        <w:pStyle w:val="BodyText"/>
      </w:pPr>
      <w:r>
        <w:t xml:space="preserve">Хещ-функция стойкая к колизиям, дает определенное кол-во бит вне зависимости от объема входных данных и эффективно вычисляется. (рис. 2)</w:t>
      </w:r>
    </w:p>
    <w:p>
      <w:pPr>
        <w:pStyle w:val="CaptionedFigure"/>
      </w:pPr>
      <w:r>
        <w:drawing>
          <wp:inline>
            <wp:extent cx="3733800" cy="3376439"/>
            <wp:effectExtent b="0" l="0" r="0" t="0"/>
            <wp:docPr descr="Второй вопрос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6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Второй вопрос</w:t>
      </w:r>
    </w:p>
    <w:p>
      <w:pPr>
        <w:pStyle w:val="BodyText"/>
      </w:pPr>
      <w:r>
        <w:t xml:space="preserve">RSA, ECDSA и ГОСТ стандарт(кузнечик) - алгоритмы цифровой подписи. (рис. 3)</w:t>
      </w:r>
    </w:p>
    <w:p>
      <w:pPr>
        <w:pStyle w:val="CaptionedFigure"/>
      </w:pPr>
      <w:r>
        <w:drawing>
          <wp:inline>
            <wp:extent cx="3733800" cy="5535633"/>
            <wp:effectExtent b="0" l="0" r="0" t="0"/>
            <wp:docPr descr="Третий вопрос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35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Третий вопрос</w:t>
      </w:r>
    </w:p>
    <w:p>
      <w:pPr>
        <w:pStyle w:val="BodyText"/>
      </w:pPr>
      <w:r>
        <w:t xml:space="preserve">Код аунтификации сообщения отеосится к симмитричным примитивам. (рис. 4)</w:t>
      </w:r>
    </w:p>
    <w:p>
      <w:pPr>
        <w:pStyle w:val="CaptionedFigure"/>
      </w:pPr>
      <w:r>
        <w:drawing>
          <wp:inline>
            <wp:extent cx="3733800" cy="4280461"/>
            <wp:effectExtent b="0" l="0" r="0" t="0"/>
            <wp:docPr descr="Четвертый вопрос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0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Четвертый вопрос</w:t>
      </w:r>
    </w:p>
    <w:p>
      <w:pPr>
        <w:pStyle w:val="BodyText"/>
      </w:pPr>
      <w:r>
        <w:t xml:space="preserve">Обмен ключами Диффи-Хэллмана - ассиметрический примитив генерации обзего секретного ключа. (рис. 5)</w:t>
      </w:r>
    </w:p>
    <w:p>
      <w:pPr>
        <w:pStyle w:val="CaptionedFigure"/>
      </w:pPr>
      <w:r>
        <w:drawing>
          <wp:inline>
            <wp:extent cx="3733800" cy="3375469"/>
            <wp:effectExtent b="0" l="0" r="0" t="0"/>
            <wp:docPr descr="Пятый вопрос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5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Пятый вопрос</w:t>
      </w:r>
    </w:p>
    <w:bookmarkEnd w:id="37"/>
    <w:bookmarkEnd w:id="38"/>
    <w:bookmarkStart w:id="54" w:name="цифровая-подпись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Цифровая подпись</w:t>
      </w:r>
    </w:p>
    <w:p>
      <w:pPr>
        <w:pStyle w:val="FirstParagraph"/>
      </w:pPr>
      <w:r>
        <w:t xml:space="preserve">Протоколы цифровой подписи с публичным ключом.(рис. 6)</w:t>
      </w:r>
    </w:p>
    <w:p>
      <w:pPr>
        <w:pStyle w:val="CaptionedFigure"/>
      </w:pPr>
      <w:r>
        <w:drawing>
          <wp:inline>
            <wp:extent cx="3733800" cy="3569200"/>
            <wp:effectExtent b="0" l="0" r="0" t="0"/>
            <wp:docPr descr="Первый вопрос" title="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Первый вопрос</w:t>
      </w:r>
    </w:p>
    <w:p>
      <w:pPr>
        <w:pStyle w:val="BodyText"/>
      </w:pPr>
      <w:r>
        <w:t xml:space="preserve">Алгоритм верификации требует на вход: подпись, открытый ключ, сообщение.(рис. 7)</w:t>
      </w:r>
    </w:p>
    <w:p>
      <w:pPr>
        <w:pStyle w:val="CaptionedFigure"/>
      </w:pPr>
      <w:r>
        <w:drawing>
          <wp:inline>
            <wp:extent cx="3733800" cy="3125818"/>
            <wp:effectExtent b="0" l="0" r="0" t="0"/>
            <wp:docPr descr="Второй вопрос" title="" id="43" name="Picture"/>
            <a:graphic>
              <a:graphicData uri="http://schemas.openxmlformats.org/drawingml/2006/picture">
                <pic:pic>
                  <pic:nvPicPr>
                    <pic:cNvPr descr="image/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5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Второй вопрос</w:t>
      </w:r>
    </w:p>
    <w:p>
      <w:pPr>
        <w:pStyle w:val="BodyText"/>
      </w:pPr>
      <w:r>
        <w:t xml:space="preserve">Электронная подпись не обеспечивает конфиденциальность.(рис. 8)</w:t>
      </w:r>
    </w:p>
    <w:p>
      <w:pPr>
        <w:pStyle w:val="CaptionedFigure"/>
      </w:pPr>
      <w:r>
        <w:drawing>
          <wp:inline>
            <wp:extent cx="3733800" cy="4549668"/>
            <wp:effectExtent b="0" l="0" r="0" t="0"/>
            <wp:docPr descr="Третий вопрос" title="" id="46" name="Picture"/>
            <a:graphic>
              <a:graphicData uri="http://schemas.openxmlformats.org/drawingml/2006/picture">
                <pic:pic>
                  <pic:nvPicPr>
                    <pic:cNvPr descr="image/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49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Третий вопрос</w:t>
      </w:r>
    </w:p>
    <w:p>
      <w:pPr>
        <w:pStyle w:val="BodyText"/>
      </w:pPr>
      <w:r>
        <w:t xml:space="preserve">Для отправки налоговой отчетности необходим сертификат с усилненной квалификацией.(рис. 9)</w:t>
      </w:r>
    </w:p>
    <w:p>
      <w:pPr>
        <w:pStyle w:val="CaptionedFigure"/>
      </w:pPr>
      <w:r>
        <w:drawing>
          <wp:inline>
            <wp:extent cx="3733800" cy="2863465"/>
            <wp:effectExtent b="0" l="0" r="0" t="0"/>
            <wp:docPr descr="Четвертый вопрос" title="" id="49" name="Picture"/>
            <a:graphic>
              <a:graphicData uri="http://schemas.openxmlformats.org/drawingml/2006/picture">
                <pic:pic>
                  <pic:nvPicPr>
                    <pic:cNvPr descr="image/9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Четвертый вопрос</w:t>
      </w:r>
    </w:p>
    <w:p>
      <w:pPr>
        <w:pStyle w:val="BodyText"/>
      </w:pPr>
      <w:r>
        <w:t xml:space="preserve">Квалифицированный сертификат можно получить в удостоверяющем центре.(рис. 10)</w:t>
      </w:r>
    </w:p>
    <w:p>
      <w:pPr>
        <w:pStyle w:val="CaptionedFigure"/>
      </w:pPr>
      <w:r>
        <w:drawing>
          <wp:inline>
            <wp:extent cx="3733800" cy="3198579"/>
            <wp:effectExtent b="0" l="0" r="0" t="0"/>
            <wp:docPr descr="Пятый вопрос" title="" id="52" name="Picture"/>
            <a:graphic>
              <a:graphicData uri="http://schemas.openxmlformats.org/drawingml/2006/picture">
                <pic:pic>
                  <pic:nvPicPr>
                    <pic:cNvPr descr="image/10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8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Пятый вопрос</w:t>
      </w:r>
    </w:p>
    <w:bookmarkEnd w:id="54"/>
    <w:bookmarkStart w:id="64" w:name="электронные-платежи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Электронные платежи</w:t>
      </w:r>
    </w:p>
    <w:p>
      <w:pPr>
        <w:pStyle w:val="FirstParagraph"/>
      </w:pPr>
      <w:r>
        <w:t xml:space="preserve">МИР, MasterCard - платежные системы. (рис. 11)</w:t>
      </w:r>
    </w:p>
    <w:p>
      <w:pPr>
        <w:pStyle w:val="CaptionedFigure"/>
      </w:pPr>
      <w:r>
        <w:drawing>
          <wp:inline>
            <wp:extent cx="3733800" cy="5948766"/>
            <wp:effectExtent b="0" l="0" r="0" t="0"/>
            <wp:docPr descr="Первый вопрос" title="" id="56" name="Picture"/>
            <a:graphic>
              <a:graphicData uri="http://schemas.openxmlformats.org/drawingml/2006/picture">
                <pic:pic>
                  <pic:nvPicPr>
                    <pic:cNvPr descr="image/11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48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Первый вопрос</w:t>
      </w:r>
    </w:p>
    <w:p>
      <w:pPr>
        <w:pStyle w:val="BodyText"/>
      </w:pPr>
      <w:r>
        <w:t xml:space="preserve">Отмеченные варианты ответов являются примером многофакторной аутентификации. (рис. 12)</w:t>
      </w:r>
    </w:p>
    <w:p>
      <w:pPr>
        <w:pStyle w:val="CaptionedFigure"/>
      </w:pPr>
      <w:r>
        <w:drawing>
          <wp:inline>
            <wp:extent cx="3733800" cy="4176384"/>
            <wp:effectExtent b="0" l="0" r="0" t="0"/>
            <wp:docPr descr="Второй вопрос" title="" id="59" name="Picture"/>
            <a:graphic>
              <a:graphicData uri="http://schemas.openxmlformats.org/drawingml/2006/picture">
                <pic:pic>
                  <pic:nvPicPr>
                    <pic:cNvPr descr="image/12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76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Второй вопрос</w:t>
      </w:r>
    </w:p>
    <w:p>
      <w:pPr>
        <w:pStyle w:val="BodyText"/>
      </w:pPr>
      <w:r>
        <w:t xml:space="preserve">Сегодня при онлайн платежах используется многофакторная аутентификация покупателя перед банком-эмитентом. (рис. 13)</w:t>
      </w:r>
    </w:p>
    <w:p>
      <w:pPr>
        <w:pStyle w:val="CaptionedFigure"/>
      </w:pPr>
      <w:r>
        <w:drawing>
          <wp:inline>
            <wp:extent cx="3733800" cy="2932336"/>
            <wp:effectExtent b="0" l="0" r="0" t="0"/>
            <wp:docPr descr="Третий вопрос" title="" id="62" name="Picture"/>
            <a:graphic>
              <a:graphicData uri="http://schemas.openxmlformats.org/drawingml/2006/picture">
                <pic:pic>
                  <pic:nvPicPr>
                    <pic:cNvPr descr="image/13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2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Третий вопрос</w:t>
      </w:r>
    </w:p>
    <w:bookmarkEnd w:id="64"/>
    <w:bookmarkStart w:id="74" w:name="блокчейн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Блокчейн</w:t>
      </w:r>
    </w:p>
    <w:p>
      <w:pPr>
        <w:pStyle w:val="FirstParagraph"/>
      </w:pPr>
      <w:r>
        <w:t xml:space="preserve">В доказательстве работы криптографической хеш-функции используется сложность нахождения прообраза. (рис. 14)</w:t>
      </w:r>
    </w:p>
    <w:p>
      <w:pPr>
        <w:pStyle w:val="CaptionedFigure"/>
      </w:pPr>
      <w:r>
        <w:drawing>
          <wp:inline>
            <wp:extent cx="3733800" cy="3309171"/>
            <wp:effectExtent b="0" l="0" r="0" t="0"/>
            <wp:docPr descr="Первый вопрос" title="" id="66" name="Picture"/>
            <a:graphic>
              <a:graphicData uri="http://schemas.openxmlformats.org/drawingml/2006/picture">
                <pic:pic>
                  <pic:nvPicPr>
                    <pic:cNvPr descr="image/14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9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Первый вопрос</w:t>
      </w:r>
    </w:p>
    <w:p>
      <w:pPr>
        <w:pStyle w:val="BodyText"/>
      </w:pPr>
      <w:r>
        <w:t xml:space="preserve">Все ответы являются верными для консенсуса некоторых блокчейн систем. (рис. 15)</w:t>
      </w:r>
    </w:p>
    <w:p>
      <w:pPr>
        <w:pStyle w:val="CaptionedFigure"/>
      </w:pPr>
      <w:r>
        <w:drawing>
          <wp:inline>
            <wp:extent cx="3733800" cy="2882006"/>
            <wp:effectExtent b="0" l="0" r="0" t="0"/>
            <wp:docPr descr="Второй вопрос" title="" id="69" name="Picture"/>
            <a:graphic>
              <a:graphicData uri="http://schemas.openxmlformats.org/drawingml/2006/picture">
                <pic:pic>
                  <pic:nvPicPr>
                    <pic:cNvPr descr="image/15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2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Второй вопрос</w:t>
      </w:r>
    </w:p>
    <w:p>
      <w:pPr>
        <w:pStyle w:val="BodyText"/>
      </w:pPr>
      <w:r>
        <w:t xml:space="preserve">Участники криптографического примитива хранят при себе только цифровую подпись. (рис. 16)</w:t>
      </w:r>
    </w:p>
    <w:p>
      <w:pPr>
        <w:pStyle w:val="CaptionedFigure"/>
      </w:pPr>
      <w:r>
        <w:drawing>
          <wp:inline>
            <wp:extent cx="3733800" cy="3829917"/>
            <wp:effectExtent b="0" l="0" r="0" t="0"/>
            <wp:docPr descr="Третий вопрос" title="" id="72" name="Picture"/>
            <a:graphic>
              <a:graphicData uri="http://schemas.openxmlformats.org/drawingml/2006/picture">
                <pic:pic>
                  <pic:nvPicPr>
                    <pic:cNvPr descr="image/16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9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Третий вопрос</w:t>
      </w:r>
    </w:p>
    <w:bookmarkEnd w:id="74"/>
    <w:bookmarkStart w:id="75" w:name="вывод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</w:t>
      </w:r>
    </w:p>
    <w:p>
      <w:pPr>
        <w:pStyle w:val="FirstParagraph"/>
      </w:pPr>
      <w:r>
        <w:t xml:space="preserve">Выполнен третий этап внешнего курса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третьему этапу внешнего курса</dc:title>
  <dc:creator>Казазаев Даниил Михайлович</dc:creator>
  <dc:language>ru-RU</dc:language>
  <cp:keywords/>
  <dcterms:created xsi:type="dcterms:W3CDTF">2025-05-17T17:03:31Z</dcterms:created>
  <dcterms:modified xsi:type="dcterms:W3CDTF">2025-05-17T17:03:31Z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информационнной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