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58AB" w14:textId="70FE0378" w:rsidR="00DC4D83" w:rsidRPr="001B7B65" w:rsidRDefault="00FD0283" w:rsidP="0078490E">
      <w:pPr>
        <w:shd w:val="clear" w:color="auto" w:fill="FFFFFF"/>
        <w:spacing w:before="3000" w:after="0" w:line="480" w:lineRule="auto"/>
        <w:contextualSpacing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CA"/>
        </w:rPr>
      </w:pPr>
      <w:r w:rsidRPr="001B7B65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CA"/>
        </w:rPr>
        <w:t>Cultural Intelligence and Social Justice in Counselling Practice:</w:t>
      </w:r>
      <w:r w:rsidR="008016C9" w:rsidRPr="001B7B65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CA"/>
        </w:rPr>
        <w:br/>
      </w:r>
      <w:r w:rsidRPr="001B7B65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CA"/>
        </w:rPr>
        <w:t>An Examination of LGBTQ2+ Identity and Spirituality</w:t>
      </w:r>
    </w:p>
    <w:p w14:paraId="76E23252" w14:textId="77777777" w:rsidR="008016C9" w:rsidRPr="001B7B65" w:rsidRDefault="008016C9" w:rsidP="00837C5B">
      <w:pPr>
        <w:shd w:val="clear" w:color="auto" w:fill="FFFFFF"/>
        <w:spacing w:after="0" w:line="480" w:lineRule="auto"/>
        <w:contextualSpacing/>
        <w:jc w:val="center"/>
        <w:rPr>
          <w:rFonts w:ascii="Times New Roman" w:eastAsia="Times New Roman" w:hAnsi="Times New Roman"/>
          <w:color w:val="000000"/>
          <w:sz w:val="24"/>
          <w:szCs w:val="24"/>
          <w:lang w:eastAsia="en-CA"/>
        </w:rPr>
      </w:pPr>
    </w:p>
    <w:p w14:paraId="76965795" w14:textId="19308EC7" w:rsidR="00DC4D83" w:rsidRPr="001B7B65" w:rsidRDefault="00FD0283" w:rsidP="00837C5B">
      <w:pPr>
        <w:shd w:val="clear" w:color="auto" w:fill="FFFFFF"/>
        <w:spacing w:after="0" w:line="480" w:lineRule="auto"/>
        <w:contextualSpacing/>
        <w:jc w:val="center"/>
        <w:rPr>
          <w:rFonts w:ascii="Times New Roman" w:eastAsia="Times New Roman" w:hAnsi="Times New Roman"/>
          <w:color w:val="000000"/>
          <w:sz w:val="24"/>
          <w:szCs w:val="24"/>
          <w:lang w:eastAsia="en-CA"/>
        </w:rPr>
      </w:pPr>
      <w:r w:rsidRPr="001B7B65">
        <w:rPr>
          <w:rFonts w:ascii="Times New Roman" w:eastAsia="Times New Roman" w:hAnsi="Times New Roman"/>
          <w:color w:val="000000"/>
          <w:sz w:val="24"/>
          <w:szCs w:val="24"/>
          <w:lang w:eastAsia="en-CA"/>
        </w:rPr>
        <w:t>Kazeem Badrudeen</w:t>
      </w:r>
    </w:p>
    <w:p w14:paraId="00AAE991" w14:textId="77777777" w:rsidR="00DC4D83" w:rsidRPr="001B7B65" w:rsidRDefault="00FD0283" w:rsidP="00837C5B">
      <w:pPr>
        <w:shd w:val="clear" w:color="auto" w:fill="FFFFFF"/>
        <w:spacing w:after="0" w:line="480" w:lineRule="auto"/>
        <w:contextualSpacing/>
        <w:jc w:val="center"/>
        <w:rPr>
          <w:rFonts w:ascii="Times New Roman" w:eastAsia="Times New Roman" w:hAnsi="Times New Roman"/>
          <w:color w:val="000000"/>
          <w:sz w:val="24"/>
          <w:szCs w:val="24"/>
          <w:lang w:eastAsia="en-CA"/>
        </w:rPr>
      </w:pPr>
      <w:r w:rsidRPr="001B7B65">
        <w:rPr>
          <w:rFonts w:ascii="Times New Roman" w:eastAsia="Times New Roman" w:hAnsi="Times New Roman"/>
          <w:color w:val="000000"/>
          <w:sz w:val="24"/>
          <w:szCs w:val="24"/>
          <w:lang w:eastAsia="en-CA"/>
        </w:rPr>
        <w:t>MACP Program, Faculty of Behavioural Sciences, Yorkville University</w:t>
      </w:r>
    </w:p>
    <w:p w14:paraId="37CF0BA9" w14:textId="5BD8151E" w:rsidR="00DC4D83" w:rsidRPr="001B7B65" w:rsidRDefault="00FD0283" w:rsidP="00837C5B">
      <w:pPr>
        <w:shd w:val="clear" w:color="auto" w:fill="FFFFFF"/>
        <w:spacing w:after="0" w:line="480" w:lineRule="auto"/>
        <w:contextualSpacing/>
        <w:jc w:val="center"/>
        <w:rPr>
          <w:rFonts w:ascii="Times New Roman" w:eastAsia="Times New Roman" w:hAnsi="Times New Roman"/>
          <w:color w:val="000000"/>
          <w:sz w:val="24"/>
          <w:szCs w:val="24"/>
          <w:lang w:eastAsia="en-CA"/>
        </w:rPr>
      </w:pPr>
      <w:r w:rsidRPr="001B7B65">
        <w:rPr>
          <w:rFonts w:ascii="Times New Roman" w:eastAsia="Times New Roman" w:hAnsi="Times New Roman"/>
          <w:color w:val="000000"/>
          <w:sz w:val="24"/>
          <w:szCs w:val="24"/>
          <w:lang w:eastAsia="en-CA"/>
        </w:rPr>
        <w:t>PSYC 6104</w:t>
      </w:r>
      <w:r w:rsidR="00EE76A4" w:rsidRPr="001B7B65">
        <w:rPr>
          <w:rFonts w:ascii="Times New Roman" w:eastAsia="Times New Roman" w:hAnsi="Times New Roman"/>
          <w:color w:val="000000"/>
          <w:sz w:val="24"/>
          <w:szCs w:val="24"/>
          <w:lang w:eastAsia="en-CA"/>
        </w:rPr>
        <w:t>–</w:t>
      </w:r>
      <w:r w:rsidRPr="001B7B65">
        <w:rPr>
          <w:rFonts w:ascii="Times New Roman" w:eastAsia="Times New Roman" w:hAnsi="Times New Roman"/>
          <w:color w:val="000000"/>
          <w:sz w:val="24"/>
          <w:szCs w:val="24"/>
          <w:lang w:eastAsia="en-CA"/>
        </w:rPr>
        <w:t>A Biopsychosocial Approach to Counselling</w:t>
      </w:r>
    </w:p>
    <w:p w14:paraId="1CFF1DC7" w14:textId="0BAF09ED" w:rsidR="00DC4D83" w:rsidRPr="001B7B65" w:rsidRDefault="00FD0283" w:rsidP="00837C5B">
      <w:pPr>
        <w:shd w:val="clear" w:color="auto" w:fill="FFFFFF"/>
        <w:spacing w:after="0" w:line="480" w:lineRule="auto"/>
        <w:contextualSpacing/>
        <w:jc w:val="center"/>
        <w:rPr>
          <w:rFonts w:ascii="Times New Roman" w:eastAsia="Times New Roman" w:hAnsi="Times New Roman"/>
          <w:color w:val="000000"/>
          <w:sz w:val="24"/>
          <w:szCs w:val="24"/>
          <w:lang w:eastAsia="en-CA"/>
        </w:rPr>
      </w:pPr>
      <w:r w:rsidRPr="001B7B65">
        <w:rPr>
          <w:rFonts w:ascii="Times New Roman" w:eastAsia="Times New Roman" w:hAnsi="Times New Roman"/>
          <w:color w:val="000000"/>
          <w:sz w:val="24"/>
          <w:szCs w:val="24"/>
          <w:lang w:eastAsia="en-CA"/>
        </w:rPr>
        <w:t xml:space="preserve">Dr. Ivana </w:t>
      </w:r>
      <w:proofErr w:type="spellStart"/>
      <w:r w:rsidRPr="001B7B65">
        <w:rPr>
          <w:rFonts w:ascii="Times New Roman" w:eastAsia="Times New Roman" w:hAnsi="Times New Roman"/>
          <w:color w:val="000000"/>
          <w:sz w:val="24"/>
          <w:szCs w:val="24"/>
          <w:lang w:eastAsia="en-CA"/>
        </w:rPr>
        <w:t>Djuraskovic</w:t>
      </w:r>
      <w:proofErr w:type="spellEnd"/>
    </w:p>
    <w:p w14:paraId="02260FE6" w14:textId="410383A7" w:rsidR="00DC4D83" w:rsidRPr="001B7B65" w:rsidRDefault="00574794" w:rsidP="00837C5B">
      <w:pPr>
        <w:shd w:val="clear" w:color="auto" w:fill="FFFFFF"/>
        <w:spacing w:after="0" w:line="480" w:lineRule="auto"/>
        <w:contextualSpacing/>
        <w:jc w:val="center"/>
        <w:rPr>
          <w:rFonts w:ascii="Times New Roman" w:eastAsia="Times New Roman" w:hAnsi="Times New Roman"/>
          <w:color w:val="000000"/>
          <w:sz w:val="24"/>
          <w:szCs w:val="24"/>
          <w:lang w:eastAsia="en-CA"/>
        </w:rPr>
      </w:pPr>
      <w:r w:rsidRPr="001B7B65">
        <w:rPr>
          <w:rFonts w:ascii="Times New Roman" w:eastAsia="Times New Roman" w:hAnsi="Times New Roman"/>
          <w:color w:val="000000"/>
          <w:sz w:val="24"/>
          <w:szCs w:val="24"/>
          <w:lang w:eastAsia="en-CA"/>
        </w:rPr>
        <w:t>June 21</w:t>
      </w:r>
      <w:r w:rsidR="008016C9" w:rsidRPr="001B7B65">
        <w:rPr>
          <w:rFonts w:ascii="Times New Roman" w:eastAsia="Times New Roman" w:hAnsi="Times New Roman"/>
          <w:color w:val="000000"/>
          <w:sz w:val="24"/>
          <w:szCs w:val="24"/>
          <w:lang w:eastAsia="en-CA"/>
        </w:rPr>
        <w:t>, 2026</w:t>
      </w:r>
    </w:p>
    <w:p w14:paraId="4225B84D" w14:textId="77777777" w:rsidR="00837C5B" w:rsidRPr="001B7B65" w:rsidRDefault="00837C5B" w:rsidP="00837C5B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CA"/>
        </w:rPr>
      </w:pPr>
      <w:r w:rsidRPr="001B7B65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CA"/>
        </w:rPr>
        <w:br w:type="page"/>
      </w:r>
    </w:p>
    <w:p w14:paraId="67F47DD8" w14:textId="767EF4B3" w:rsidR="00024D7C" w:rsidRPr="001B7B65" w:rsidRDefault="00024D7C" w:rsidP="00837C5B">
      <w:pPr>
        <w:shd w:val="clear" w:color="auto" w:fill="FFFFFF"/>
        <w:spacing w:after="0" w:line="480" w:lineRule="auto"/>
        <w:contextualSpacing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CA"/>
        </w:rPr>
      </w:pPr>
      <w:r w:rsidRPr="001B7B65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CA"/>
        </w:rPr>
        <w:lastRenderedPageBreak/>
        <w:t>Cultural Intelligence and Social Justice in Counselling Practice:</w:t>
      </w:r>
      <w:r w:rsidR="008016C9" w:rsidRPr="001B7B65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CA"/>
        </w:rPr>
        <w:br/>
      </w:r>
      <w:r w:rsidRPr="001B7B65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CA"/>
        </w:rPr>
        <w:t>An Examination of LGBTQ2+ Identity and Spirituality</w:t>
      </w:r>
    </w:p>
    <w:p w14:paraId="170224CE" w14:textId="1A6C9439" w:rsidR="00FF244D" w:rsidRPr="0078490E" w:rsidRDefault="00FF244D" w:rsidP="0078490E">
      <w:pPr>
        <w:spacing w:after="0" w:line="480" w:lineRule="auto"/>
        <w:ind w:firstLine="720"/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</w:pP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Culture shapes how we relate to others, understand ourselves, and interpret our experiences, influencing our beliefs, values, identity development, and approaches to seeking help. </w:t>
      </w:r>
      <w:r w:rsidR="008A269A" w:rsidRPr="0078490E">
        <w:rPr>
          <w:rFonts w:ascii="Times New Roman" w:hAnsi="Times New Roman"/>
          <w:kern w:val="2"/>
          <w:sz w:val="24"/>
          <w:szCs w:val="24"/>
          <w:u w:color="FF0000"/>
          <w:lang w:eastAsia="en-US"/>
          <w14:ligatures w14:val="standardContextual"/>
        </w:rPr>
        <w:t>Because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of this, counsellors are increasingly working with clients whose cultural, spiritual, and identity backgrounds differ from their own, which calls for awareness, respect, and competence (Collins, 2022).</w:t>
      </w:r>
      <w:r w:rsidR="008016C9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C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lients are also shaped by broader social realities such </w:t>
      </w:r>
      <w:r w:rsidR="008A269A" w:rsidRPr="0078490E">
        <w:rPr>
          <w:rFonts w:ascii="Times New Roman" w:hAnsi="Times New Roman"/>
          <w:kern w:val="2"/>
          <w:sz w:val="24"/>
          <w:szCs w:val="24"/>
          <w:u w:color="FF0000"/>
          <w:lang w:eastAsia="en-US"/>
          <w14:ligatures w14:val="standardContextual"/>
        </w:rPr>
        <w:t>as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discrimination, privilege, oppression, and unequal access to resources. These </w:t>
      </w:r>
      <w:r w:rsidR="008016C9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realities</w:t>
      </w:r>
      <w:r w:rsidR="008016C9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are often already present in a client’s life before counselling begins. This is why a </w:t>
      </w:r>
      <w:r w:rsidR="004115B0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culturally responsive and socially just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(CRSJ) lens is important in practice (Slay-Westbrook, 2017). In this paper, I explore culture, social justice, cultural intelligence, and cultural competence through </w:t>
      </w:r>
      <w:r w:rsidR="008016C9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an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LGBTQ2+ identity and spirituality</w:t>
      </w:r>
      <w:r w:rsidR="008016C9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lens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with</w:t>
      </w:r>
      <w:r w:rsidR="008016C9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a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16C9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focus</w:t>
      </w:r>
      <w:r w:rsidR="008016C9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16C9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on</w:t>
      </w:r>
      <w:r w:rsidR="008016C9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social factors, therapist development, and socially just practice.</w:t>
      </w:r>
    </w:p>
    <w:p w14:paraId="71D59400" w14:textId="77777777" w:rsidR="00FF244D" w:rsidRPr="001B7B65" w:rsidRDefault="00FF244D" w:rsidP="0078490E">
      <w:pPr>
        <w:pStyle w:val="Heading1"/>
      </w:pPr>
      <w:r w:rsidRPr="001B7B65">
        <w:t>What is Culture and Social Justice</w:t>
      </w:r>
    </w:p>
    <w:p w14:paraId="589A6703" w14:textId="5D7EA021" w:rsidR="00FF244D" w:rsidRPr="0078490E" w:rsidRDefault="00FF244D" w:rsidP="0078490E">
      <w:pPr>
        <w:spacing w:after="0" w:line="480" w:lineRule="auto"/>
        <w:ind w:firstLine="720"/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</w:pP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Culture refers to the meanings, values, beliefs, and practices that shape how people experience the world. It is not fixed and shifts depending on </w:t>
      </w:r>
      <w:r w:rsidR="008016C9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one’s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identity, social location, gender, sexual orientation, spirituality, and lived experience (Collins, 2022). Social justice is about how </w:t>
      </w:r>
      <w:r w:rsidR="004115B0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power, resources, and opportunities are distributed fairly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.</w:t>
      </w:r>
      <w:r w:rsidR="008016C9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R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ecognizing how systems of inequality affect </w:t>
      </w:r>
      <w:r w:rsidR="008016C9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people’s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mental health makes </w:t>
      </w:r>
      <w:r w:rsidR="008016C9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counselling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both an ethical and a clinical responsibility (Slay-Westbrook, 2017). Together, these ideas </w:t>
      </w:r>
      <w:r w:rsidR="008A269A" w:rsidRPr="0078490E">
        <w:rPr>
          <w:rFonts w:ascii="Times New Roman" w:hAnsi="Times New Roman"/>
          <w:kern w:val="2"/>
          <w:sz w:val="24"/>
          <w:szCs w:val="24"/>
          <w:u w:color="0000FF"/>
          <w:lang w:eastAsia="en-US"/>
          <w14:ligatures w14:val="standardContextual"/>
        </w:rPr>
        <w:t>show that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client concerns cannot be separated from the environments and systems </w:t>
      </w:r>
      <w:r w:rsidR="00A660B0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in which they live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.</w:t>
      </w:r>
    </w:p>
    <w:p w14:paraId="06719078" w14:textId="77777777" w:rsidR="00837C5B" w:rsidRPr="001B7B65" w:rsidRDefault="00837C5B">
      <w:pPr>
        <w:spacing w:after="0" w:line="240" w:lineRule="auto"/>
        <w:rPr>
          <w:rFonts w:ascii="Times New Roman" w:hAnsi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1B7B65">
        <w:br w:type="page"/>
      </w:r>
    </w:p>
    <w:p w14:paraId="7020300B" w14:textId="1D1D41C9" w:rsidR="00FF244D" w:rsidRPr="001B7B65" w:rsidRDefault="00FF244D" w:rsidP="0078490E">
      <w:pPr>
        <w:pStyle w:val="Heading1"/>
      </w:pPr>
      <w:r w:rsidRPr="001B7B65">
        <w:lastRenderedPageBreak/>
        <w:t>Cultural Intelligence and Social Factors</w:t>
      </w:r>
    </w:p>
    <w:p w14:paraId="17AB724C" w14:textId="130AFB22" w:rsidR="00FF244D" w:rsidRPr="0078490E" w:rsidRDefault="00FF244D" w:rsidP="0078490E">
      <w:pPr>
        <w:spacing w:after="0" w:line="480" w:lineRule="auto"/>
        <w:ind w:firstLine="720"/>
        <w:rPr>
          <w:rFonts w:ascii="Times New Roman" w:hAnsi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Cultural intelligence (CQ) refers to the ability to understand and adapt to different cultural perspectives in counselling. It </w:t>
      </w:r>
      <w:r w:rsidR="008016C9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requires</w:t>
      </w:r>
      <w:r w:rsidR="008016C9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self-awareness, knowledge of diverse identities, and appropriate </w:t>
      </w:r>
      <w:r w:rsidR="008A269A" w:rsidRPr="0078490E">
        <w:rPr>
          <w:rFonts w:ascii="Times New Roman" w:hAnsi="Times New Roman"/>
          <w:kern w:val="2"/>
          <w:sz w:val="24"/>
          <w:szCs w:val="24"/>
          <w:u w:color="000000"/>
          <w:lang w:eastAsia="en-US"/>
          <w14:ligatures w14:val="standardContextual"/>
        </w:rPr>
        <w:t>cross-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cultural responsiveness</w:t>
      </w:r>
      <w:r w:rsidR="00837C5B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A269A" w:rsidRPr="0078490E">
        <w:rPr>
          <w:rFonts w:ascii="Times New Roman" w:hAnsi="Times New Roman"/>
          <w:kern w:val="2"/>
          <w:sz w:val="24"/>
          <w:szCs w:val="24"/>
          <w:u w:color="000000"/>
          <w:lang w:eastAsia="en-US"/>
          <w14:ligatures w14:val="standardContextual"/>
        </w:rPr>
        <w:t>(López &amp;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Hale, 2024). I see </w:t>
      </w:r>
      <w:r w:rsidR="008016C9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it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as directly shaping how I connect with clients and understand their experiences.</w:t>
      </w:r>
      <w:r w:rsidRPr="0078490E">
        <w:rPr>
          <w:rFonts w:ascii="Times New Roman" w:hAnsi="Times New Roman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Working with LGBTQ2+ clients requires awareness of heteronormativity, stigma, and minority stress. These can show up as shame, identity conflict, or fear of disclosure. In practice, I aim to respond in ways that affirm identity and reduce discrimination (Bishop et al., 2022). Spirituality also </w:t>
      </w:r>
      <w:r w:rsidR="004115B0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requires practitioners’ openness and careful attention to meaning-making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without assumptions</w:t>
      </w:r>
      <w:r w:rsidR="00837C5B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A269A" w:rsidRPr="0078490E">
        <w:rPr>
          <w:rFonts w:ascii="Times New Roman" w:hAnsi="Times New Roman"/>
          <w:kern w:val="2"/>
          <w:sz w:val="24"/>
          <w:szCs w:val="24"/>
          <w:u w:color="000000"/>
          <w:lang w:eastAsia="en-US"/>
          <w14:ligatures w14:val="standardContextual"/>
        </w:rPr>
        <w:t>(Haney &amp;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Rollock, 2020). It can be a source of strength</w:t>
      </w:r>
      <w:r w:rsidR="004115B0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, but it can also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create tension when identity conflicts with religious teachings. </w:t>
      </w:r>
      <w:r w:rsidR="008A269A" w:rsidRPr="0078490E">
        <w:rPr>
          <w:rFonts w:ascii="Times New Roman" w:hAnsi="Times New Roman"/>
          <w:kern w:val="2"/>
          <w:sz w:val="24"/>
          <w:szCs w:val="24"/>
          <w:u w:color="FF0000"/>
          <w:lang w:eastAsia="en-US"/>
          <w14:ligatures w14:val="standardContextual"/>
        </w:rPr>
        <w:t>As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a gay Muslim man, I am aware of how layered these experiences can be, which reminds me to stay reflective and avoid letting 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my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personal beliefs shape how I interpret clients’ experiences. Two key social factors</w:t>
      </w:r>
      <w:r w:rsidR="00BA499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in identity formation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are heteronormativity (Bishop et al., 2022) and religious influence</w:t>
      </w:r>
      <w:r w:rsidR="00837C5B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A269A" w:rsidRPr="0078490E">
        <w:rPr>
          <w:rFonts w:ascii="Times New Roman" w:hAnsi="Times New Roman"/>
          <w:kern w:val="2"/>
          <w:sz w:val="24"/>
          <w:szCs w:val="24"/>
          <w:u w:color="000000"/>
          <w:lang w:eastAsia="en-US"/>
          <w14:ligatures w14:val="standardContextual"/>
        </w:rPr>
        <w:t>(Haney &amp;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Rollock, 2020). Heteronormativity can reduce safety in self-expression</w:t>
      </w:r>
      <w:r w:rsidR="002726F1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,</w:t>
      </w:r>
      <w:r w:rsidR="008A269A" w:rsidRPr="0078490E">
        <w:rPr>
          <w:rFonts w:ascii="Times New Roman" w:hAnsi="Times New Roman"/>
          <w:kern w:val="2"/>
          <w:sz w:val="24"/>
          <w:szCs w:val="24"/>
          <w:u w:color="000000"/>
          <w:lang w:eastAsia="en-US"/>
          <w14:ligatures w14:val="standardContextual"/>
        </w:rPr>
        <w:t xml:space="preserve"> </w:t>
      </w:r>
      <w:r w:rsidR="002726F1" w:rsidRPr="001B7B65">
        <w:rPr>
          <w:rFonts w:ascii="Times New Roman" w:hAnsi="Times New Roman"/>
          <w:kern w:val="2"/>
          <w:sz w:val="24"/>
          <w:szCs w:val="24"/>
          <w:u w:color="000000"/>
          <w:lang w:eastAsia="en-US"/>
          <w14:ligatures w14:val="standardContextual"/>
        </w:rPr>
        <w:t>and</w:t>
      </w:r>
      <w:r w:rsidR="002726F1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religious influence can contribute to shame or internal conflict, both affecting w</w:t>
      </w:r>
      <w:r w:rsidR="008A269A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ell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-</w:t>
      </w:r>
      <w:r w:rsidR="008A269A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being</w:t>
      </w:r>
      <w:r w:rsidR="003749AA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3749AA" w:rsidRPr="003749AA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(Collins, 2022).</w:t>
      </w:r>
    </w:p>
    <w:p w14:paraId="27CFE9A9" w14:textId="34CF8198" w:rsidR="00FF244D" w:rsidRPr="001B7B65" w:rsidRDefault="00FF244D" w:rsidP="0078490E">
      <w:pPr>
        <w:pStyle w:val="Heading1"/>
      </w:pPr>
      <w:r w:rsidRPr="001B7B65">
        <w:t>Cultural Competence and Social Factors</w:t>
      </w:r>
    </w:p>
    <w:p w14:paraId="04777AE4" w14:textId="4F7B83EA" w:rsidR="00FF244D" w:rsidRPr="0078490E" w:rsidRDefault="00FF244D" w:rsidP="0078490E">
      <w:pPr>
        <w:spacing w:after="0" w:line="480" w:lineRule="auto"/>
        <w:ind w:firstLine="720"/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</w:pP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Cultural competence involves the awareness, knowledge, skills, and attitudes needed 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to effectively operate an</w:t>
      </w:r>
      <w:r w:rsidR="00FE306A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ethical counselling practice (Collins, 2022). I </w:t>
      </w:r>
      <w:r w:rsidR="008A269A" w:rsidRPr="0078490E">
        <w:rPr>
          <w:rFonts w:ascii="Times New Roman" w:hAnsi="Times New Roman"/>
          <w:kern w:val="2"/>
          <w:sz w:val="24"/>
          <w:szCs w:val="24"/>
          <w:u w:color="808080"/>
          <w:lang w:eastAsia="en-US"/>
          <w14:ligatures w14:val="standardContextual"/>
        </w:rPr>
        <w:t>do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not see it as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something that can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ever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be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fully achieved. It develops through practice, feedback, and reflection. Cultural humility is central, involving 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an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awareness of 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one’s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limits, 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deep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reflection on 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one’s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bias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es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, and the avoidance of stereotypes (Collins, 2022). </w:t>
      </w:r>
      <w:r w:rsidR="008A269A" w:rsidRPr="0078490E">
        <w:rPr>
          <w:rFonts w:ascii="Times New Roman" w:hAnsi="Times New Roman"/>
          <w:kern w:val="2"/>
          <w:sz w:val="24"/>
          <w:szCs w:val="24"/>
          <w:u w:color="008000"/>
          <w:lang w:eastAsia="en-US"/>
          <w14:ligatures w14:val="standardContextual"/>
        </w:rPr>
        <w:t>For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councillors helping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LGBTQ2+ clients, 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cultural humility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means 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providing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affirming care and supporting identity safety. For 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councillors </w:t>
      </w:r>
      <w:r w:rsidR="004115B0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working </w:t>
      </w:r>
      <w:r w:rsidR="004115B0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lastRenderedPageBreak/>
        <w:t xml:space="preserve">with spiritually diverse clients, this means respecting beliefs without making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assumption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s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or judgment</w:t>
      </w:r>
      <w:r w:rsidR="00FE306A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s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(Bishop et al., 2022;</w:t>
      </w:r>
      <w:r w:rsidR="00837C5B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A269A" w:rsidRPr="0078490E">
        <w:rPr>
          <w:rFonts w:ascii="Times New Roman" w:hAnsi="Times New Roman"/>
          <w:kern w:val="2"/>
          <w:sz w:val="24"/>
          <w:szCs w:val="24"/>
          <w:u w:color="000000"/>
          <w:lang w:eastAsia="en-US"/>
          <w14:ligatures w14:val="standardContextual"/>
        </w:rPr>
        <w:t>Haney &amp;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Rollock, 2020). Two social factors I must be mindful of are personal beliefs and privilege. </w:t>
      </w:r>
      <w:r w:rsidR="00A543E4" w:rsidRPr="001B7B65">
        <w:rPr>
          <w:rFonts w:ascii="Times New Roman" w:hAnsi="Times New Roman"/>
          <w:kern w:val="2"/>
          <w:sz w:val="24"/>
          <w:szCs w:val="24"/>
          <w:u w:color="008000"/>
          <w:lang w:eastAsia="en-US"/>
          <w14:ligatures w14:val="standardContextual"/>
        </w:rPr>
        <w:t>When left</w:t>
      </w:r>
      <w:r w:rsidR="00A543E4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unexamined, these</w:t>
      </w:r>
      <w:r w:rsidR="00A543E4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factors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can </w:t>
      </w:r>
      <w:r w:rsidR="004115B0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subtly shape my responses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. For example, missed sessions may be interpreted as </w:t>
      </w:r>
      <w:r w:rsidR="002726F1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a 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lack of motivation</w:t>
      </w:r>
      <w:r w:rsidR="004115B0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, even when they stem from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financial stress, discrimination, caregiving demands, or access barriers (Slay-Westbrook, 2017).</w:t>
      </w:r>
    </w:p>
    <w:p w14:paraId="2A928D6D" w14:textId="77777777" w:rsidR="00FF244D" w:rsidRPr="001B7B65" w:rsidRDefault="00FF244D" w:rsidP="0078490E">
      <w:pPr>
        <w:pStyle w:val="Heading1"/>
      </w:pPr>
      <w:r w:rsidRPr="001B7B65">
        <w:t>Developing an Attitude and Components of Cultural Competence and Social Justice</w:t>
      </w:r>
    </w:p>
    <w:p w14:paraId="204787EC" w14:textId="64D2A3FD" w:rsidR="00FF244D" w:rsidRPr="0078490E" w:rsidRDefault="0072303B" w:rsidP="0078490E">
      <w:pPr>
        <w:spacing w:after="0" w:line="480" w:lineRule="auto"/>
        <w:ind w:firstLine="720"/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</w:pPr>
      <w:r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Slay-Westbrook (2017) described t</w:t>
      </w:r>
      <w:r w:rsidR="00FF244D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he idea of enlarging the circle of </w:t>
      </w:r>
      <w:r w:rsidR="00FA42D6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respect as </w:t>
      </w:r>
      <w:r w:rsidR="004115B0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the group of people to whom you extend warmth and respect</w:t>
      </w:r>
      <w:r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.</w:t>
      </w:r>
      <w:r w:rsidR="00FF244D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I understand this as</w:t>
      </w:r>
      <w:r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a</w:t>
      </w:r>
      <w:r w:rsidR="00FF244D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gradual </w:t>
      </w:r>
      <w:r w:rsidR="00FF244D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develop</w:t>
      </w:r>
      <w:r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ment</w:t>
      </w:r>
      <w:r w:rsidR="00FF244D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through experience rather than something </w:t>
      </w:r>
      <w:r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that is ever </w:t>
      </w:r>
      <w:r w:rsidR="00FF244D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fully achieved. Supervision, reflection, and continued learning (Collins, 2022) help me remain aware of </w:t>
      </w:r>
      <w:r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my </w:t>
      </w:r>
      <w:r w:rsidR="00FF244D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assumptions and </w:t>
      </w:r>
      <w:r w:rsidR="002726F1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support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FF244D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ongoing growth. Developing a CRSJ approach requires ongoing reflection on my values, upbringing, and worldview, and how the</w:t>
      </w:r>
      <w:r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y</w:t>
      </w:r>
      <w:r w:rsidR="00FF244D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shape my understanding of clients (Collins, 2022). </w:t>
      </w:r>
      <w:r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The approach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FF244D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is not fixed </w:t>
      </w:r>
      <w:r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and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FF244D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evolves over time. With LGBTQ2+ clients, I aim to remain attuned to affirming perspectives and check whether </w:t>
      </w:r>
      <w:r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they</w:t>
      </w:r>
      <w:r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FF244D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feel safe and respected (Bishop et al., 2022). With </w:t>
      </w:r>
      <w:r w:rsidR="00936049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>spiritually</w:t>
      </w:r>
      <w:r w:rsidR="00936049" w:rsidRPr="001B7B65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diverse</w:t>
      </w:r>
      <w:r w:rsidR="00FF244D" w:rsidRPr="0078490E">
        <w:rPr>
          <w:rFonts w:ascii="Times New Roman" w:hAnsi="Times New Roman"/>
          <w:kern w:val="2"/>
          <w:sz w:val="24"/>
          <w:szCs w:val="24"/>
          <w:lang w:eastAsia="en-US"/>
          <w14:ligatures w14:val="standardContextual"/>
        </w:rPr>
        <w:t xml:space="preserve"> clients, I focus on learning directly from their experiences rather than assumptions. This development is supported through supervision, reflection, and ongoing learning (Collins, 2022).</w:t>
      </w:r>
    </w:p>
    <w:p w14:paraId="7FC7FF8F" w14:textId="77777777" w:rsidR="00FF244D" w:rsidRPr="001B7B65" w:rsidRDefault="00FF244D" w:rsidP="0078490E">
      <w:pPr>
        <w:pStyle w:val="Heading1"/>
      </w:pPr>
      <w:r w:rsidRPr="001B7B65">
        <w:t>Conclusion</w:t>
      </w:r>
    </w:p>
    <w:p w14:paraId="7C51AB68" w14:textId="03AB729A" w:rsidR="0052014A" w:rsidRPr="0052014A" w:rsidRDefault="0052014A" w:rsidP="0052014A">
      <w:pPr>
        <w:suppressAutoHyphens w:val="0"/>
        <w:spacing w:after="0" w:line="480" w:lineRule="auto"/>
        <w:ind w:firstLine="720"/>
        <w:rPr>
          <w:rFonts w:ascii="Times New Roman" w:eastAsia="Times New Roman" w:hAnsi="Times New Roman"/>
          <w:sz w:val="24"/>
          <w:szCs w:val="24"/>
          <w:lang w:val="en-US" w:eastAsia="en-US"/>
        </w:rPr>
      </w:pPr>
      <w:r w:rsidRPr="0052014A">
        <w:rPr>
          <w:rFonts w:ascii="Times New Roman" w:eastAsia="Times New Roman" w:hAnsi="Times New Roman"/>
          <w:sz w:val="24"/>
          <w:szCs w:val="24"/>
          <w:lang w:val="en-US" w:eastAsia="en-US"/>
        </w:rPr>
        <w:t xml:space="preserve">This paper explores culture, social justice, and cultural competence through an LGBTQ2+ identity and spirituality lens, examining social factors in counselling. My evolving </w:t>
      </w:r>
      <w:r w:rsidR="009931F2">
        <w:rPr>
          <w:rFonts w:ascii="Times New Roman" w:eastAsia="Times New Roman" w:hAnsi="Times New Roman"/>
          <w:sz w:val="24"/>
          <w:szCs w:val="24"/>
          <w:lang w:val="en-US" w:eastAsia="en-US"/>
        </w:rPr>
        <w:t xml:space="preserve">understanding </w:t>
      </w:r>
      <w:r w:rsidRPr="0052014A">
        <w:rPr>
          <w:rFonts w:ascii="Times New Roman" w:eastAsia="Times New Roman" w:hAnsi="Times New Roman"/>
          <w:sz w:val="24"/>
          <w:szCs w:val="24"/>
          <w:lang w:val="en-US" w:eastAsia="en-US"/>
        </w:rPr>
        <w:t>is continuously shaped by cultural intelligence and self-reflection, guiding my approach to client engagement and my role as a developing counsellor.</w:t>
      </w:r>
    </w:p>
    <w:p w14:paraId="08E4BE47" w14:textId="77777777" w:rsidR="00893C31" w:rsidRPr="001B7B65" w:rsidRDefault="00FD0283" w:rsidP="00837C5B">
      <w:pPr>
        <w:pageBreakBefore/>
        <w:shd w:val="clear" w:color="auto" w:fill="FFFFFF"/>
        <w:spacing w:after="0" w:line="480" w:lineRule="auto"/>
        <w:contextualSpacing/>
        <w:jc w:val="center"/>
        <w:rPr>
          <w:rFonts w:ascii="Times New Roman" w:eastAsia="Times New Roman" w:hAnsi="Times New Roman"/>
          <w:color w:val="000000"/>
          <w:sz w:val="24"/>
          <w:szCs w:val="24"/>
          <w:lang w:eastAsia="en-CA"/>
        </w:rPr>
      </w:pPr>
      <w:r w:rsidRPr="001B7B65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CA"/>
        </w:rPr>
        <w:lastRenderedPageBreak/>
        <w:t>References</w:t>
      </w:r>
    </w:p>
    <w:p w14:paraId="4A645A45" w14:textId="622615FF" w:rsidR="00196104" w:rsidRPr="001B7B65" w:rsidRDefault="00196104" w:rsidP="00837C5B">
      <w:pPr>
        <w:spacing w:after="0" w:line="480" w:lineRule="auto"/>
        <w:ind w:left="720" w:hanging="720"/>
        <w:rPr>
          <w:rFonts w:ascii="Times New Roman" w:eastAsia="MS Mincho" w:hAnsi="Times New Roman"/>
          <w:sz w:val="24"/>
          <w:lang w:eastAsia="en-US"/>
        </w:rPr>
      </w:pPr>
      <w:r w:rsidRPr="001B7B65">
        <w:rPr>
          <w:rFonts w:ascii="Times New Roman" w:eastAsia="MS Mincho" w:hAnsi="Times New Roman"/>
          <w:sz w:val="24"/>
          <w:lang w:eastAsia="en-US"/>
        </w:rPr>
        <w:t>Bishop, J., Crisp, D.</w:t>
      </w:r>
      <w:r w:rsidR="00837C5B" w:rsidRPr="001B7B65">
        <w:rPr>
          <w:rFonts w:ascii="Times New Roman" w:eastAsia="MS Mincho" w:hAnsi="Times New Roman"/>
          <w:sz w:val="24"/>
          <w:lang w:eastAsia="en-US"/>
        </w:rPr>
        <w:t xml:space="preserve"> </w:t>
      </w:r>
      <w:r w:rsidR="008A269A" w:rsidRPr="001B7B65">
        <w:rPr>
          <w:rFonts w:ascii="Times New Roman" w:eastAsia="MS Mincho" w:hAnsi="Times New Roman"/>
          <w:sz w:val="24"/>
          <w:u w:color="000000"/>
          <w:lang w:eastAsia="en-US"/>
        </w:rPr>
        <w:t>A., &amp;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 Scholz, </w:t>
      </w:r>
      <w:r w:rsidR="008A269A" w:rsidRPr="001B7B65">
        <w:rPr>
          <w:rFonts w:ascii="Times New Roman" w:eastAsia="MS Mincho" w:hAnsi="Times New Roman"/>
          <w:sz w:val="24"/>
          <w:u w:color="000000"/>
          <w:lang w:eastAsia="en-US"/>
        </w:rPr>
        <w:t>B. (2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022). A systematic review to determine how service provider practices impact effective service provision to lesbian, gay and bisexual consumers in a mental health setting. </w:t>
      </w:r>
      <w:r w:rsidRPr="001B7B65">
        <w:rPr>
          <w:rFonts w:ascii="Times New Roman" w:eastAsia="MS Mincho" w:hAnsi="Times New Roman"/>
          <w:i/>
          <w:sz w:val="24"/>
          <w:lang w:eastAsia="en-US"/>
        </w:rPr>
        <w:t>Clinical</w:t>
      </w:r>
      <w:r w:rsidR="00837C5B" w:rsidRPr="001B7B65">
        <w:rPr>
          <w:rFonts w:ascii="Times New Roman" w:eastAsia="MS Mincho" w:hAnsi="Times New Roman"/>
          <w:i/>
          <w:sz w:val="24"/>
          <w:lang w:eastAsia="en-US"/>
        </w:rPr>
        <w:t xml:space="preserve"> </w:t>
      </w:r>
      <w:r w:rsidR="008A269A" w:rsidRPr="001B7B65">
        <w:rPr>
          <w:rFonts w:ascii="Times New Roman" w:eastAsia="MS Mincho" w:hAnsi="Times New Roman"/>
          <w:i/>
          <w:sz w:val="24"/>
          <w:u w:color="000000"/>
          <w:lang w:eastAsia="en-US"/>
        </w:rPr>
        <w:t>Psychology &amp;</w:t>
      </w:r>
      <w:r w:rsidRPr="001B7B65">
        <w:rPr>
          <w:rFonts w:ascii="Times New Roman" w:eastAsia="MS Mincho" w:hAnsi="Times New Roman"/>
          <w:i/>
          <w:sz w:val="24"/>
          <w:lang w:eastAsia="en-US"/>
        </w:rPr>
        <w:t xml:space="preserve"> Psychotherapy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, </w:t>
      </w:r>
      <w:r w:rsidRPr="001B7B65">
        <w:rPr>
          <w:rFonts w:ascii="Times New Roman" w:eastAsia="MS Mincho" w:hAnsi="Times New Roman"/>
          <w:i/>
          <w:sz w:val="24"/>
          <w:lang w:eastAsia="en-US"/>
        </w:rPr>
        <w:t>29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(3), 874–894. </w:t>
      </w:r>
      <w:hyperlink r:id="rId6" w:history="1">
        <w:r w:rsidR="00837C5B" w:rsidRPr="001B7B65">
          <w:rPr>
            <w:rStyle w:val="Hyperlink"/>
            <w:rFonts w:ascii="Times New Roman" w:eastAsia="MS Mincho" w:hAnsi="Times New Roman"/>
            <w:sz w:val="24"/>
            <w:lang w:eastAsia="en-US"/>
          </w:rPr>
          <w:t>https://doi.org/10.1002/cpp.2699</w:t>
        </w:r>
      </w:hyperlink>
    </w:p>
    <w:p w14:paraId="06E7F6EA" w14:textId="116CE463" w:rsidR="00196104" w:rsidRPr="001B7B65" w:rsidRDefault="00196104" w:rsidP="00837C5B">
      <w:pPr>
        <w:spacing w:after="0" w:line="480" w:lineRule="auto"/>
        <w:ind w:left="720" w:hanging="720"/>
        <w:rPr>
          <w:rFonts w:ascii="Times New Roman" w:eastAsia="MS Mincho" w:hAnsi="Times New Roman"/>
          <w:sz w:val="24"/>
          <w:lang w:eastAsia="en-US"/>
        </w:rPr>
      </w:pPr>
      <w:r w:rsidRPr="001B7B65">
        <w:rPr>
          <w:rFonts w:ascii="Times New Roman" w:eastAsia="MS Mincho" w:hAnsi="Times New Roman"/>
          <w:sz w:val="24"/>
          <w:lang w:eastAsia="en-US"/>
        </w:rPr>
        <w:t xml:space="preserve">Collins, </w:t>
      </w:r>
      <w:r w:rsidR="008A269A" w:rsidRPr="001B7B65">
        <w:rPr>
          <w:rFonts w:ascii="Times New Roman" w:eastAsia="MS Mincho" w:hAnsi="Times New Roman"/>
          <w:sz w:val="24"/>
          <w:u w:color="000000"/>
          <w:lang w:eastAsia="en-US"/>
        </w:rPr>
        <w:t>S. (2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022). </w:t>
      </w:r>
      <w:r w:rsidR="002726F1" w:rsidRPr="001B7B65">
        <w:rPr>
          <w:rFonts w:ascii="Times New Roman" w:eastAsia="MS Mincho" w:hAnsi="Times New Roman"/>
          <w:sz w:val="24"/>
          <w:lang w:eastAsia="en-US"/>
        </w:rPr>
        <w:t xml:space="preserve">Cc1 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Cultural sensitivity. In S. Collins (Ed.), </w:t>
      </w:r>
      <w:r w:rsidRPr="001B7B65">
        <w:rPr>
          <w:rFonts w:ascii="Times New Roman" w:eastAsia="MS Mincho" w:hAnsi="Times New Roman"/>
          <w:i/>
          <w:sz w:val="24"/>
          <w:lang w:eastAsia="en-US"/>
        </w:rPr>
        <w:t>Culturally responsive and socially just counselling: Teaching and learning guide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 </w:t>
      </w:r>
      <w:r w:rsidR="00837C5B" w:rsidRPr="001B7B65">
        <w:rPr>
          <w:rFonts w:ascii="Times New Roman" w:eastAsia="MS Mincho" w:hAnsi="Times New Roman"/>
          <w:sz w:val="24"/>
          <w:lang w:eastAsia="en-US"/>
        </w:rPr>
        <w:t>(</w:t>
      </w:r>
      <w:r w:rsidR="002726F1" w:rsidRPr="001B7B65">
        <w:rPr>
          <w:rFonts w:ascii="Times New Roman" w:eastAsia="MS Mincho" w:hAnsi="Times New Roman"/>
          <w:sz w:val="24"/>
          <w:lang w:eastAsia="en-US"/>
        </w:rPr>
        <w:t xml:space="preserve">2nd ed., </w:t>
      </w:r>
      <w:r w:rsidR="00837C5B" w:rsidRPr="001B7B65">
        <w:rPr>
          <w:rFonts w:ascii="Times New Roman" w:eastAsia="MS Mincho" w:hAnsi="Times New Roman"/>
          <w:sz w:val="24"/>
          <w:lang w:eastAsia="en-US"/>
        </w:rPr>
        <w:t>pp. 51–70).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 Counselling Concepts. </w:t>
      </w:r>
      <w:hyperlink r:id="rId7" w:history="1">
        <w:r w:rsidR="00837C5B" w:rsidRPr="001B7B65">
          <w:rPr>
            <w:rStyle w:val="Hyperlink"/>
            <w:rFonts w:ascii="Times New Roman" w:eastAsia="MS Mincho" w:hAnsi="Times New Roman"/>
            <w:sz w:val="24"/>
            <w:lang w:eastAsia="en-US"/>
          </w:rPr>
          <w:t>https://pressbooks.pub/crsjguide/chapter/cc1/</w:t>
        </w:r>
      </w:hyperlink>
    </w:p>
    <w:p w14:paraId="0BF82D6D" w14:textId="2098FD67" w:rsidR="00196104" w:rsidRPr="001B7B65" w:rsidRDefault="00196104" w:rsidP="00837C5B">
      <w:pPr>
        <w:spacing w:after="0" w:line="480" w:lineRule="auto"/>
        <w:ind w:left="720" w:hanging="720"/>
        <w:rPr>
          <w:rFonts w:ascii="Times New Roman" w:eastAsia="MS Mincho" w:hAnsi="Times New Roman"/>
          <w:sz w:val="24"/>
          <w:lang w:eastAsia="en-US"/>
        </w:rPr>
      </w:pPr>
      <w:r w:rsidRPr="001B7B65">
        <w:rPr>
          <w:rFonts w:ascii="Times New Roman" w:eastAsia="MS Mincho" w:hAnsi="Times New Roman"/>
          <w:sz w:val="24"/>
          <w:lang w:eastAsia="en-US"/>
        </w:rPr>
        <w:t>Haney, A.</w:t>
      </w:r>
      <w:r w:rsidR="00837C5B" w:rsidRPr="001B7B65">
        <w:rPr>
          <w:rFonts w:ascii="Times New Roman" w:eastAsia="MS Mincho" w:hAnsi="Times New Roman"/>
          <w:sz w:val="24"/>
          <w:lang w:eastAsia="en-US"/>
        </w:rPr>
        <w:t xml:space="preserve"> </w:t>
      </w:r>
      <w:r w:rsidR="008A269A" w:rsidRPr="001B7B65">
        <w:rPr>
          <w:rFonts w:ascii="Times New Roman" w:eastAsia="MS Mincho" w:hAnsi="Times New Roman"/>
          <w:sz w:val="24"/>
          <w:u w:color="000000"/>
          <w:lang w:eastAsia="en-US"/>
        </w:rPr>
        <w:t>M., &amp;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 Rollock, </w:t>
      </w:r>
      <w:r w:rsidR="008A269A" w:rsidRPr="001B7B65">
        <w:rPr>
          <w:rFonts w:ascii="Times New Roman" w:eastAsia="MS Mincho" w:hAnsi="Times New Roman"/>
          <w:sz w:val="24"/>
          <w:u w:color="000000"/>
          <w:lang w:eastAsia="en-US"/>
        </w:rPr>
        <w:t>D. (2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020). A matter of faith: The role of religion, doubt, and personality in emerging adult mental health. </w:t>
      </w:r>
      <w:r w:rsidRPr="001B7B65">
        <w:rPr>
          <w:rFonts w:ascii="Times New Roman" w:eastAsia="MS Mincho" w:hAnsi="Times New Roman"/>
          <w:i/>
          <w:sz w:val="24"/>
          <w:lang w:eastAsia="en-US"/>
        </w:rPr>
        <w:t>Psychology of Religion and Spirituality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, </w:t>
      </w:r>
      <w:r w:rsidRPr="001B7B65">
        <w:rPr>
          <w:rFonts w:ascii="Times New Roman" w:eastAsia="MS Mincho" w:hAnsi="Times New Roman"/>
          <w:i/>
          <w:sz w:val="24"/>
          <w:lang w:eastAsia="en-US"/>
        </w:rPr>
        <w:t>12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(2), 247–253. </w:t>
      </w:r>
      <w:hyperlink r:id="rId8" w:history="1">
        <w:r w:rsidR="00837C5B" w:rsidRPr="001B7B65">
          <w:rPr>
            <w:rStyle w:val="Hyperlink"/>
            <w:rFonts w:ascii="Times New Roman" w:eastAsia="MS Mincho" w:hAnsi="Times New Roman"/>
            <w:sz w:val="24"/>
            <w:lang w:eastAsia="en-US"/>
          </w:rPr>
          <w:t>https://doi.org/10.1037/rel0000231</w:t>
        </w:r>
      </w:hyperlink>
    </w:p>
    <w:p w14:paraId="4AF36DD6" w14:textId="3916ABEC" w:rsidR="00196104" w:rsidRPr="001B7B65" w:rsidRDefault="00196104" w:rsidP="00837C5B">
      <w:pPr>
        <w:spacing w:after="0" w:line="480" w:lineRule="auto"/>
        <w:ind w:left="720" w:hanging="720"/>
        <w:rPr>
          <w:rFonts w:ascii="Times New Roman" w:eastAsia="MS Mincho" w:hAnsi="Times New Roman"/>
          <w:sz w:val="24"/>
          <w:lang w:eastAsia="en-US"/>
        </w:rPr>
      </w:pPr>
      <w:r w:rsidRPr="001B7B65">
        <w:rPr>
          <w:rFonts w:ascii="Times New Roman" w:eastAsia="MS Mincho" w:hAnsi="Times New Roman"/>
          <w:sz w:val="24"/>
          <w:lang w:eastAsia="en-US"/>
        </w:rPr>
        <w:t>López, S.</w:t>
      </w:r>
      <w:r w:rsidR="00837C5B" w:rsidRPr="001B7B65">
        <w:rPr>
          <w:rFonts w:ascii="Times New Roman" w:eastAsia="MS Mincho" w:hAnsi="Times New Roman"/>
          <w:sz w:val="24"/>
          <w:lang w:eastAsia="en-US"/>
        </w:rPr>
        <w:t xml:space="preserve"> </w:t>
      </w:r>
      <w:r w:rsidR="008A269A" w:rsidRPr="001B7B65">
        <w:rPr>
          <w:rFonts w:ascii="Times New Roman" w:eastAsia="MS Mincho" w:hAnsi="Times New Roman"/>
          <w:sz w:val="24"/>
          <w:u w:color="000000"/>
          <w:lang w:eastAsia="en-US"/>
        </w:rPr>
        <w:t>R., &amp;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 Hale, K. </w:t>
      </w:r>
      <w:r w:rsidR="008A269A" w:rsidRPr="001B7B65">
        <w:rPr>
          <w:rFonts w:ascii="Times New Roman" w:eastAsia="MS Mincho" w:hAnsi="Times New Roman"/>
          <w:sz w:val="24"/>
          <w:u w:color="000000"/>
          <w:lang w:eastAsia="en-US"/>
        </w:rPr>
        <w:t>L. (2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024). Putting conceptions and considerations of culture into practice: A qualitative evaluation of cultural competence training. </w:t>
      </w:r>
      <w:r w:rsidR="00837C5B" w:rsidRPr="0078490E">
        <w:rPr>
          <w:rFonts w:ascii="Times New Roman" w:eastAsia="MS Mincho" w:hAnsi="Times New Roman"/>
          <w:i/>
          <w:iCs/>
          <w:sz w:val="24"/>
          <w:lang w:eastAsia="en-US"/>
        </w:rPr>
        <w:t>Journal of Latinx</w:t>
      </w:r>
      <w:r w:rsidR="00837C5B" w:rsidRPr="001B7B65">
        <w:rPr>
          <w:rFonts w:ascii="Times New Roman" w:eastAsia="MS Mincho" w:hAnsi="Times New Roman"/>
          <w:sz w:val="24"/>
          <w:lang w:eastAsia="en-US"/>
        </w:rPr>
        <w:t xml:space="preserve"> </w:t>
      </w:r>
      <w:r w:rsidR="00837C5B" w:rsidRPr="0078490E">
        <w:rPr>
          <w:rFonts w:ascii="Times New Roman" w:eastAsia="MS Mincho" w:hAnsi="Times New Roman"/>
          <w:i/>
          <w:iCs/>
          <w:sz w:val="24"/>
          <w:lang w:eastAsia="en-US"/>
        </w:rPr>
        <w:t>Psychology</w:t>
      </w:r>
      <w:r w:rsidR="00837C5B" w:rsidRPr="001B7B65">
        <w:rPr>
          <w:rFonts w:ascii="Times New Roman" w:eastAsia="MS Mincho" w:hAnsi="Times New Roman"/>
          <w:sz w:val="24"/>
          <w:lang w:eastAsia="en-US"/>
        </w:rPr>
        <w:t xml:space="preserve">, </w:t>
      </w:r>
      <w:r w:rsidR="00837C5B" w:rsidRPr="0078490E">
        <w:rPr>
          <w:rFonts w:ascii="Times New Roman" w:eastAsia="MS Mincho" w:hAnsi="Times New Roman"/>
          <w:i/>
          <w:iCs/>
          <w:sz w:val="24"/>
          <w:lang w:eastAsia="en-US"/>
        </w:rPr>
        <w:t>12</w:t>
      </w:r>
      <w:r w:rsidR="00837C5B" w:rsidRPr="001B7B65">
        <w:rPr>
          <w:rFonts w:ascii="Times New Roman" w:eastAsia="MS Mincho" w:hAnsi="Times New Roman"/>
          <w:sz w:val="24"/>
          <w:lang w:eastAsia="en-US"/>
        </w:rPr>
        <w:t xml:space="preserve">(4), 329–347. </w:t>
      </w:r>
      <w:hyperlink r:id="rId9" w:history="1">
        <w:r w:rsidR="00837C5B" w:rsidRPr="001B7B65">
          <w:rPr>
            <w:rStyle w:val="Hyperlink"/>
            <w:rFonts w:ascii="Times New Roman" w:eastAsia="MS Mincho" w:hAnsi="Times New Roman"/>
            <w:sz w:val="24"/>
            <w:lang w:eastAsia="en-US"/>
          </w:rPr>
          <w:t>https://doi.org/10.1037/lat0000257</w:t>
        </w:r>
      </w:hyperlink>
    </w:p>
    <w:p w14:paraId="0AB085A1" w14:textId="35CE4F75" w:rsidR="00DC4D83" w:rsidRPr="001B7B65" w:rsidRDefault="00196104" w:rsidP="0078490E"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  <w:lang w:eastAsia="en-CA"/>
        </w:rPr>
      </w:pPr>
      <w:r w:rsidRPr="001B7B65">
        <w:rPr>
          <w:rFonts w:ascii="Times New Roman" w:eastAsia="MS Mincho" w:hAnsi="Times New Roman"/>
          <w:sz w:val="24"/>
          <w:lang w:eastAsia="en-US"/>
        </w:rPr>
        <w:t xml:space="preserve">Slay-Westbrook, </w:t>
      </w:r>
      <w:r w:rsidR="008A269A" w:rsidRPr="001B7B65">
        <w:rPr>
          <w:rFonts w:ascii="Times New Roman" w:eastAsia="MS Mincho" w:hAnsi="Times New Roman"/>
          <w:sz w:val="24"/>
          <w:u w:color="000000"/>
          <w:lang w:eastAsia="en-US"/>
        </w:rPr>
        <w:t>S. (2</w:t>
      </w:r>
      <w:r w:rsidRPr="001B7B65">
        <w:rPr>
          <w:rFonts w:ascii="Times New Roman" w:eastAsia="MS Mincho" w:hAnsi="Times New Roman"/>
          <w:sz w:val="24"/>
          <w:lang w:eastAsia="en-US"/>
        </w:rPr>
        <w:t xml:space="preserve">017). </w:t>
      </w:r>
      <w:r w:rsidRPr="001B7B65">
        <w:rPr>
          <w:rFonts w:ascii="Times New Roman" w:eastAsia="MS Mincho" w:hAnsi="Times New Roman"/>
          <w:i/>
          <w:sz w:val="24"/>
          <w:lang w:eastAsia="en-US"/>
        </w:rPr>
        <w:t>Respect-focused therapy: Honouring clients through the therapeutic relationship and process</w:t>
      </w:r>
      <w:r w:rsidRPr="001B7B65">
        <w:rPr>
          <w:rFonts w:ascii="Times New Roman" w:eastAsia="MS Mincho" w:hAnsi="Times New Roman"/>
          <w:sz w:val="24"/>
          <w:lang w:eastAsia="en-US"/>
        </w:rPr>
        <w:t>. Routledge.</w:t>
      </w:r>
    </w:p>
    <w:sectPr w:rsidR="00DC4D83" w:rsidRPr="001B7B65">
      <w:headerReference w:type="default" r:id="rId10"/>
      <w:pgSz w:w="12240" w:h="15840"/>
      <w:pgMar w:top="1440" w:right="1440" w:bottom="1440" w:left="144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B925E" w14:textId="77777777" w:rsidR="001C634B" w:rsidRDefault="001C634B">
      <w:pPr>
        <w:spacing w:after="0" w:line="240" w:lineRule="auto"/>
      </w:pPr>
      <w:r>
        <w:separator/>
      </w:r>
    </w:p>
  </w:endnote>
  <w:endnote w:type="continuationSeparator" w:id="0">
    <w:p w14:paraId="7A5FB74E" w14:textId="77777777" w:rsidR="001C634B" w:rsidRDefault="001C6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16B53" w14:textId="77777777" w:rsidR="001C634B" w:rsidRDefault="001C634B">
      <w:pPr>
        <w:spacing w:after="0" w:line="240" w:lineRule="auto"/>
      </w:pPr>
      <w:r>
        <w:separator/>
      </w:r>
    </w:p>
  </w:footnote>
  <w:footnote w:type="continuationSeparator" w:id="0">
    <w:p w14:paraId="318BAB20" w14:textId="77777777" w:rsidR="001C634B" w:rsidRDefault="001C6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DA1E2" w14:textId="46CB035C" w:rsidR="00DC4D83" w:rsidRDefault="00FD0283" w:rsidP="0078490E">
    <w:pPr>
      <w:pStyle w:val="Header"/>
      <w:jc w:val="righ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 xml:space="preserve"> PAGE </w:instrText>
    </w:r>
    <w:r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sz w:val="24"/>
        <w:szCs w:val="24"/>
      </w:rPr>
      <w:t>6</w:t>
    </w:r>
    <w:r>
      <w:rPr>
        <w:rFonts w:ascii="Times New Roman" w:hAnsi="Times New Roman"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UyNzQwsDAwMjMyNTdR0lEKTi0uzszPAymwrAUA/GZxWiwAAAA="/>
    <w:docVar w:name="GB_Language" w:val="wdEnglishCanadian"/>
    <w:docVar w:name="GB_MergeSpaces" w:val="T"/>
    <w:docVar w:name="GB_Proofreader" w:val="Write Place"/>
  </w:docVars>
  <w:rsids>
    <w:rsidRoot w:val="00DC4D83"/>
    <w:rsid w:val="00000A39"/>
    <w:rsid w:val="00024D7C"/>
    <w:rsid w:val="000F7218"/>
    <w:rsid w:val="00124168"/>
    <w:rsid w:val="00166C61"/>
    <w:rsid w:val="00196104"/>
    <w:rsid w:val="001A6073"/>
    <w:rsid w:val="001B7244"/>
    <w:rsid w:val="001B7B65"/>
    <w:rsid w:val="001C634B"/>
    <w:rsid w:val="0020684A"/>
    <w:rsid w:val="002726F1"/>
    <w:rsid w:val="00291FBE"/>
    <w:rsid w:val="003308AC"/>
    <w:rsid w:val="0035389A"/>
    <w:rsid w:val="003749AA"/>
    <w:rsid w:val="003B7C5D"/>
    <w:rsid w:val="003D0E49"/>
    <w:rsid w:val="004115B0"/>
    <w:rsid w:val="00411988"/>
    <w:rsid w:val="0046009F"/>
    <w:rsid w:val="004A1030"/>
    <w:rsid w:val="004B5596"/>
    <w:rsid w:val="004E28CD"/>
    <w:rsid w:val="004F5AC2"/>
    <w:rsid w:val="0052014A"/>
    <w:rsid w:val="005450D5"/>
    <w:rsid w:val="00573011"/>
    <w:rsid w:val="00574794"/>
    <w:rsid w:val="00663827"/>
    <w:rsid w:val="006C196C"/>
    <w:rsid w:val="006C4ACE"/>
    <w:rsid w:val="006F20C5"/>
    <w:rsid w:val="0072303B"/>
    <w:rsid w:val="007535D5"/>
    <w:rsid w:val="0078490E"/>
    <w:rsid w:val="008016C9"/>
    <w:rsid w:val="00837C5B"/>
    <w:rsid w:val="00871FD4"/>
    <w:rsid w:val="00893C31"/>
    <w:rsid w:val="008A269A"/>
    <w:rsid w:val="00936049"/>
    <w:rsid w:val="00960F87"/>
    <w:rsid w:val="009931F2"/>
    <w:rsid w:val="009D5050"/>
    <w:rsid w:val="00A543E4"/>
    <w:rsid w:val="00A660B0"/>
    <w:rsid w:val="00A74865"/>
    <w:rsid w:val="00B96B34"/>
    <w:rsid w:val="00BA4995"/>
    <w:rsid w:val="00CB4171"/>
    <w:rsid w:val="00CD2BC4"/>
    <w:rsid w:val="00CD647F"/>
    <w:rsid w:val="00D46E1C"/>
    <w:rsid w:val="00DB7BB3"/>
    <w:rsid w:val="00DC4D83"/>
    <w:rsid w:val="00EE76A4"/>
    <w:rsid w:val="00F601D3"/>
    <w:rsid w:val="00FA42D6"/>
    <w:rsid w:val="00FD0283"/>
    <w:rsid w:val="00FD14D0"/>
    <w:rsid w:val="00FE306A"/>
    <w:rsid w:val="00FF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E509DB"/>
  <w15:docId w15:val="{24A9B3D4-4422-4E93-8921-24EEE894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val="en-CA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16C9"/>
    <w:pPr>
      <w:spacing w:after="0" w:line="480" w:lineRule="auto"/>
      <w:jc w:val="center"/>
      <w:outlineLvl w:val="0"/>
    </w:pPr>
    <w:rPr>
      <w:rFonts w:ascii="Times New Roman" w:hAnsi="Times New Roman"/>
      <w:b/>
      <w:bCs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2z0">
    <w:name w:val="WW8Num2z0"/>
    <w:qFormat/>
    <w:rPr>
      <w:rFonts w:ascii="Symbol" w:hAnsi="Symbol" w:cs="Symbol"/>
      <w:sz w:val="20"/>
    </w:rPr>
  </w:style>
  <w:style w:type="character" w:customStyle="1" w:styleId="WW8Num2z1">
    <w:name w:val="WW8Num2z1"/>
    <w:qFormat/>
    <w:rPr>
      <w:rFonts w:ascii="Courier New" w:hAnsi="Courier New" w:cs="Courier New"/>
      <w:sz w:val="20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  <w:sz w:val="20"/>
    </w:rPr>
  </w:style>
  <w:style w:type="character" w:customStyle="1" w:styleId="WW8Num3z1">
    <w:name w:val="WW8Num3z1"/>
    <w:qFormat/>
    <w:rPr>
      <w:rFonts w:ascii="Courier New" w:hAnsi="Courier New" w:cs="Courier New"/>
      <w:sz w:val="20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qFormat/>
  </w:style>
  <w:style w:type="character" w:customStyle="1" w:styleId="CommentSubjectChar">
    <w:name w:val="Comment Subject Char"/>
    <w:qFormat/>
    <w:rPr>
      <w:b/>
      <w:bCs/>
    </w:rPr>
  </w:style>
  <w:style w:type="character" w:customStyle="1" w:styleId="HeaderChar">
    <w:name w:val="Header Char"/>
    <w:qFormat/>
    <w:rPr>
      <w:sz w:val="22"/>
      <w:szCs w:val="22"/>
    </w:rPr>
  </w:style>
  <w:style w:type="character" w:customStyle="1" w:styleId="FooterChar">
    <w:name w:val="Footer Char"/>
    <w:qFormat/>
    <w:rPr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after="120" w:line="240" w:lineRule="auto"/>
    </w:pPr>
    <w:rPr>
      <w:rFonts w:ascii="Times New Roman" w:hAnsi="Times New Roman"/>
      <w:sz w:val="28"/>
      <w:szCs w:val="20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qFormat/>
    <w:rPr>
      <w:rFonts w:ascii="Times New Roman" w:hAnsi="Times New Roman"/>
      <w:sz w:val="24"/>
      <w:szCs w:val="24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paragraph" w:styleId="Revision">
    <w:name w:val="Revision"/>
    <w:hidden/>
    <w:uiPriority w:val="99"/>
    <w:semiHidden/>
    <w:rsid w:val="00837C5B"/>
    <w:pPr>
      <w:suppressAutoHyphens w:val="0"/>
    </w:pPr>
    <w:rPr>
      <w:rFonts w:ascii="Calibri" w:eastAsia="Calibri" w:hAnsi="Calibri" w:cs="Times New Roman"/>
      <w:sz w:val="22"/>
      <w:szCs w:val="22"/>
      <w:lang w:val="en-CA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8016C9"/>
    <w:rPr>
      <w:rFonts w:ascii="Times New Roman" w:eastAsia="Calibri" w:hAnsi="Times New Roman" w:cs="Times New Roman"/>
      <w:b/>
      <w:bCs/>
      <w:kern w:val="2"/>
      <w:lang w:val="en-CA" w:eastAsia="en-US" w:bidi="ar-SA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837C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7C5B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7/rel000023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ressbooks.pub/crsjguide/chapter/cc1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02/cpp.2699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doi.org/10.1037/lat0000257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Write Place</Company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Kazeem Badrudeen</dc:creator>
  <cp:keywords>Write Place</cp:keywords>
  <cp:lastModifiedBy>Kazeem Badrudeen</cp:lastModifiedBy>
  <cp:revision>3</cp:revision>
  <dcterms:created xsi:type="dcterms:W3CDTF">2026-06-20T08:12:00Z</dcterms:created>
  <dcterms:modified xsi:type="dcterms:W3CDTF">2026-06-20T08:16:00Z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2026-06-07T01:58:00Z</dcterms:created>
  <dc:creator>Ron Hallman</dc:creator>
  <dc:description/>
  <cp:keywords/>
  <dc:language>en-US</dc:language>
  <cp:lastModifiedBy>Kazeem Badrudeen</cp:lastModifiedBy>
  <dcterms:modified xsi:type="dcterms:W3CDTF">2026-06-07T05:03:00Z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ef37ef8fae9074bcad87c2b5bc42c1fd17ec1c4b038887a5d4c40ceaace6d6ba</vt:lpwstr>
  </property>
  <property fmtid="{D5CDD505-2E9C-101B-9397-08002B2CF9AE}" pid="3" name="MSIP_Label_f9550ca0-0675-44d7-bb04-63ada2b67084_Enabled">
    <vt:lpwstr>true</vt:lpwstr>
  </property>
  <property fmtid="{D5CDD505-2E9C-101B-9397-08002B2CF9AE}" pid="4" name="MSIP_Label_f9550ca0-0675-44d7-bb04-63ada2b67084_SetDate">
    <vt:lpwstr>2026-06-19T17:00:37Z</vt:lpwstr>
  </property>
  <property fmtid="{D5CDD505-2E9C-101B-9397-08002B2CF9AE}" pid="5" name="MSIP_Label_f9550ca0-0675-44d7-bb04-63ada2b67084_Method">
    <vt:lpwstr>Standard</vt:lpwstr>
  </property>
  <property fmtid="{D5CDD505-2E9C-101B-9397-08002B2CF9AE}" pid="6" name="MSIP_Label_f9550ca0-0675-44d7-bb04-63ada2b67084_Name">
    <vt:lpwstr>defa4170-0d19-0005-0004-bc88714345d2</vt:lpwstr>
  </property>
  <property fmtid="{D5CDD505-2E9C-101B-9397-08002B2CF9AE}" pid="7" name="MSIP_Label_f9550ca0-0675-44d7-bb04-63ada2b67084_SiteId">
    <vt:lpwstr>ac45f708-9a6b-48cd-be65-c3037b768520</vt:lpwstr>
  </property>
  <property fmtid="{D5CDD505-2E9C-101B-9397-08002B2CF9AE}" pid="8" name="MSIP_Label_f9550ca0-0675-44d7-bb04-63ada2b67084_ActionId">
    <vt:lpwstr>1469ae41-41dc-4134-9a5d-fb175dfd7a7b</vt:lpwstr>
  </property>
  <property fmtid="{D5CDD505-2E9C-101B-9397-08002B2CF9AE}" pid="9" name="MSIP_Label_f9550ca0-0675-44d7-bb04-63ada2b67084_ContentBits">
    <vt:lpwstr>0</vt:lpwstr>
  </property>
  <property fmtid="{D5CDD505-2E9C-101B-9397-08002B2CF9AE}" pid="10" name="MSIP_Label_f9550ca0-0675-44d7-bb04-63ada2b67084_Tag">
    <vt:lpwstr>10, 3, 0, 1</vt:lpwstr>
  </property>
</Properties>
</file>